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Charte d'usage de l'intelligence artificielle</w:t>
      </w:r>
    </w:p>
    <w:p>
      <w:r>
        <w:rPr>
          <w:i w:val="0"/>
          <w:sz w:val="26"/>
        </w:rPr>
        <w:t>[Nom de l'entreprise]</w:t>
      </w:r>
    </w:p>
    <w:p>
      <w:r>
        <w:rPr>
          <w:i w:val="0"/>
          <w:color w:val="5A5A5A"/>
          <w:sz w:val="18"/>
        </w:rPr>
        <w:t>Version [1.0] du [date]. Adoptée par [fonction du signataire] le [date][, après avis du CSE].</w:t>
      </w:r>
    </w:p>
    <w:p>
      <w:r>
        <w:rPr>
          <w:i/>
          <w:color w:val="5A5A5A"/>
          <w:sz w:val="18"/>
        </w:rPr>
        <w:t>Comment utiliser ce modèle : remplacez tout ce qui est entre crochets, supprimez les consignes en gris comme celle-ci, puis complétez les deux annexes avec vos outils et vos propres documents. Le corps de la charte tient en deux pages : gardez-le court, c'est ce qui le fait lire en entier. Ce modèle est un point de départ, pas un avis juridique ; l'article 10 dit comment le rendre opposable aux salariés. Vous pouvez le modifier librement : seule la mention en pied de page est à conserver (licence CC BY 4.0).</w:t>
      </w:r>
    </w:p>
    <w:p>
      <w:pPr>
        <w:pStyle w:val="Heading1"/>
      </w:pPr>
      <w:r>
        <w:t>Article 1. Objet et périmètre</w:t>
      </w:r>
    </w:p>
    <w:p>
      <w:r>
        <w:rPr>
          <w:i w:val="0"/>
        </w:rPr>
        <w:t>La présente charte fixe les règles d'usage des outils d'intelligence artificielle dans [l'entreprise]. Elle s'applique à tout salarié, quel que soit son contrat, ainsi qu'aux stagiaires, intérimaires et prestataires qui utilisent un tel outil pour le compte de [l'entreprise], sur un poste professionnel ou personnel. Pour les prestataires et les intérimaires, [l'entreprise] fait figurer le respect de la charte dans le contrat qui la lie à leur employeur.</w:t>
      </w:r>
    </w:p>
    <w:p>
      <w:r>
        <w:rPr>
          <w:i w:val="0"/>
        </w:rPr>
        <w:t>Est un outil d'intelligence artificielle tout logiciel qui produit du texte, des images, du code, une synthèse ou une recommandation à partir de ce qu'on lui soumet : assistant conversationnel, fonction d'IA intégrée à un logiciel de bureautique ou métier, outil de transcription ou de traduction automatique.</w:t>
      </w:r>
    </w:p>
    <w:p>
      <w:pPr>
        <w:pStyle w:val="Heading1"/>
      </w:pPr>
      <w:r>
        <w:t>Article 2. Outils autorisés et comptes professionnels</w:t>
      </w:r>
    </w:p>
    <w:p>
      <w:r>
        <w:rPr>
          <w:i w:val="0"/>
        </w:rPr>
        <w:t>Seuls les outils listés à l'annexe 1 sont autorisés, avec le type de compte qui y est indiqué. Aucun document de [l'entreprise] ne passe par un compte personnel ni par la version gratuite d'un outil grand public. Un salarié qui souhaite utiliser un nouvel outil en fait la demande à la personne désignée à l'article 8.</w:t>
      </w:r>
    </w:p>
    <w:p>
      <w:pPr>
        <w:pStyle w:val="Heading1"/>
      </w:pPr>
      <w:r>
        <w:t>Article 3. La règle de saisie, en trois couleurs</w:t>
      </w:r>
    </w:p>
    <w:p>
      <w:r>
        <w:rPr>
          <w:i w:val="0"/>
        </w:rPr>
        <w:t>Avant de soumettre un document ou une information à un outil d'IA, le salarié vérifie sa couleur. L'annexe 2 classe les documents de [l'entreprise] selon cette règle.</w:t>
      </w:r>
    </w:p>
    <w:tbl>
      <w:tblPr>
        <w:tblStyle w:val="TableGrid"/>
        <w:tblW w:type="auto" w:w="0"/>
        <w:jc w:val="center"/>
        <w:tblLook w:firstColumn="1" w:firstRow="1" w:lastColumn="0" w:lastRow="0" w:noHBand="0" w:noVBand="1" w:val="04A0"/>
      </w:tblPr>
      <w:tblGrid>
        <w:gridCol w:w="3251"/>
        <w:gridCol w:w="3251"/>
        <w:gridCol w:w="3251"/>
      </w:tblGrid>
      <w:tr>
        <w:tc>
          <w:tcPr>
            <w:tcW w:type="dxa" w:w="1304"/>
            <w:shd w:val="clear" w:color="auto" w:fill="1B4A3C"/>
          </w:tcPr>
          <w:p>
            <w:r/>
            <w:r>
              <w:rPr>
                <w:b/>
                <w:color w:val="FFFFFF"/>
                <w:sz w:val="19"/>
              </w:rPr>
              <w:t>Couleur</w:t>
            </w:r>
          </w:p>
        </w:tc>
        <w:tc>
          <w:tcPr>
            <w:tcW w:type="dxa" w:w="4989"/>
            <w:shd w:val="clear" w:color="auto" w:fill="1B4A3C"/>
          </w:tcPr>
          <w:p>
            <w:r/>
            <w:r>
              <w:rPr>
                <w:b/>
                <w:color w:val="FFFFFF"/>
                <w:sz w:val="19"/>
              </w:rPr>
              <w:t>Ce qui entre dans la catégorie</w:t>
            </w:r>
          </w:p>
        </w:tc>
        <w:tc>
          <w:tcPr>
            <w:tcW w:type="dxa" w:w="3572"/>
            <w:shd w:val="clear" w:color="auto" w:fill="1B4A3C"/>
          </w:tcPr>
          <w:p>
            <w:r/>
            <w:r>
              <w:rPr>
                <w:b/>
                <w:color w:val="FFFFFF"/>
                <w:sz w:val="19"/>
              </w:rPr>
              <w:t>Ce que le salarié fait</w:t>
            </w:r>
          </w:p>
        </w:tc>
      </w:tr>
      <w:tr>
        <w:tc>
          <w:tcPr>
            <w:tcW w:type="dxa" w:w="1304"/>
            <w:shd w:val="clear" w:color="auto" w:fill="E3ECE8"/>
          </w:tcPr>
          <w:p>
            <w:r/>
            <w:r>
              <w:rPr>
                <w:sz w:val="19"/>
              </w:rPr>
              <w:t>Vert</w:t>
            </w:r>
          </w:p>
        </w:tc>
        <w:tc>
          <w:tcPr>
            <w:tcW w:type="dxa" w:w="4989"/>
          </w:tcPr>
          <w:p>
            <w:r/>
            <w:r>
              <w:rPr>
                <w:sz w:val="19"/>
              </w:rPr>
              <w:t>Ce qui est déjà public : texte de loi, documentation publique, barème officiel, contenu publié par [l'entreprise]. Les tâches qui ne touchent à aucune donnée de l'entreprise.</w:t>
            </w:r>
          </w:p>
        </w:tc>
        <w:tc>
          <w:tcPr>
            <w:tcW w:type="dxa" w:w="3572"/>
          </w:tcPr>
          <w:p>
            <w:r/>
            <w:r>
              <w:rPr>
                <w:sz w:val="19"/>
              </w:rPr>
              <w:t>Il utilise librement un outil de l'annexe 1.</w:t>
            </w:r>
          </w:p>
        </w:tc>
      </w:tr>
      <w:tr>
        <w:tc>
          <w:tcPr>
            <w:tcW w:type="dxa" w:w="1304"/>
            <w:shd w:val="clear" w:color="auto" w:fill="F6EEDC"/>
          </w:tcPr>
          <w:p>
            <w:r/>
            <w:r>
              <w:rPr>
                <w:sz w:val="19"/>
              </w:rPr>
              <w:t>Orange</w:t>
            </w:r>
          </w:p>
        </w:tc>
        <w:tc>
          <w:tcPr>
            <w:tcW w:type="dxa" w:w="4989"/>
          </w:tcPr>
          <w:p>
            <w:r/>
            <w:r>
              <w:rPr>
                <w:sz w:val="19"/>
              </w:rPr>
              <w:t>Ce qui appartient à l'entreprise sans désigner personne : procédure interne, modèle de courrier, trame de compte rendu, e-mail interne.</w:t>
            </w:r>
          </w:p>
        </w:tc>
        <w:tc>
          <w:tcPr>
            <w:tcW w:type="dxa" w:w="3572"/>
          </w:tcPr>
          <w:p>
            <w:r/>
            <w:r>
              <w:rPr>
                <w:sz w:val="19"/>
              </w:rPr>
              <w:t>Il retire les noms, les montants et les identifiants, utilise un outil de l'annexe 1, puis fait relire le résultat avant diffusion.</w:t>
            </w:r>
          </w:p>
        </w:tc>
      </w:tr>
      <w:tr>
        <w:tc>
          <w:tcPr>
            <w:tcW w:type="dxa" w:w="1304"/>
            <w:shd w:val="clear" w:color="auto" w:fill="F2E2DF"/>
          </w:tcPr>
          <w:p>
            <w:r/>
            <w:r>
              <w:rPr>
                <w:sz w:val="19"/>
              </w:rPr>
              <w:t>Rouge</w:t>
            </w:r>
          </w:p>
        </w:tc>
        <w:tc>
          <w:tcPr>
            <w:tcW w:type="dxa" w:w="4989"/>
          </w:tcPr>
          <w:p>
            <w:r/>
            <w:r>
              <w:rPr>
                <w:sz w:val="19"/>
              </w:rPr>
              <w:t>Ce qui permet de reconnaître un client, un salarié ou un tiers ; les données de santé ; les pièces couvertes par un secret professionnel ou par un engagement de confidentialité ; les données stratégiques de l'entreprise.</w:t>
            </w:r>
          </w:p>
        </w:tc>
        <w:tc>
          <w:tcPr>
            <w:tcW w:type="dxa" w:w="3572"/>
          </w:tcPr>
          <w:p>
            <w:r/>
            <w:r>
              <w:rPr>
                <w:sz w:val="19"/>
              </w:rPr>
              <w:t>Il ne le saisit dans aucun assistant d'usage général. Seul un outil inscrit à l'annexe 1 pour cet usage, dans les conditions de l'article 4, peut le traiter.</w:t>
            </w:r>
          </w:p>
        </w:tc>
      </w:tr>
    </w:tbl>
    <w:p/>
    <w:p>
      <w:r>
        <w:rPr>
          <w:i w:val="0"/>
        </w:rPr>
        <w:t>En cas de doute sur la couleur, le salarié traite le document comme rouge et pose la question à la personne désignée à l'article 8.</w:t>
      </w:r>
    </w:p>
    <w:p>
      <w:pPr>
        <w:pStyle w:val="Heading1"/>
      </w:pPr>
      <w:r>
        <w:t>Article 4. Données qui ne se saisissent jamais</w:t>
      </w:r>
    </w:p>
    <w:p>
      <w:r>
        <w:rPr>
          <w:i w:val="0"/>
        </w:rPr>
        <w:t>Ne sont jamais saisis dans un assistant d'IA d'usage général, même sous licence professionnelle : [le numéro de sécurité sociale, les coordonnées bancaires, les données de santé, les bulletins de paie, les dossiers disciplinaires, les identifiants et mots de passe, les pièces confiées par un client sous secret, les informations financières non publiées].</w:t>
      </w:r>
    </w:p>
    <w:p>
      <w:r>
        <w:rPr>
          <w:i w:val="0"/>
        </w:rPr>
        <w:t>Un outil d'IA que [l'entreprise] a déployé pour une tâche définie peut traiter des données personnelles à quatre conditions : il figure à l'annexe 1, un contrat de sous-traitance l'encadre (article 28 du RGPD), l'éditeur ne réutilise pas les données saisies pour ses propres fins, et le traitement est inscrit au registre des traitements (article 30 du RGPD).</w:t>
      </w:r>
    </w:p>
    <w:p>
      <w:r>
        <w:rPr>
          <w:i/>
          <w:color w:val="5A5A5A"/>
          <w:sz w:val="18"/>
        </w:rPr>
        <w:t>Adaptez la liste du premier alinéa à votre métier. Un cabinet d'avocats, un expert-comptable ou une structure de santé y ajoutent les pièces couvertes par leur secret professionnel.</w:t>
      </w:r>
    </w:p>
    <w:p>
      <w:pPr>
        <w:pStyle w:val="Heading1"/>
      </w:pPr>
      <w:r>
        <w:t>Article 5. Relecture et vérification</w:t>
      </w:r>
    </w:p>
    <w:p>
      <w:r>
        <w:rPr>
          <w:i w:val="0"/>
        </w:rPr>
        <w:t>Le salarié relit tout contenu produit avec un outil d'IA avant de l'utiliser. Il vérifie à sa source chaque référence que l'outil cite : texte, article, décision, chiffre, citation. Aucun document produit avec un outil d'IA ne part chez un client ou un partenaire sans cette relecture. Le salarié reste responsable de ce qu'il transmet.</w:t>
      </w:r>
    </w:p>
    <w:p>
      <w:pPr>
        <w:pStyle w:val="Heading1"/>
      </w:pPr>
      <w:r>
        <w:t>Article 6. Information des clients et des tiers</w:t>
      </w:r>
    </w:p>
    <w:p>
      <w:r>
        <w:rPr>
          <w:i w:val="0"/>
        </w:rPr>
        <w:t>[L'entreprise] indique à ses clients, dans [ses conditions générales / sa lettre de mission / sa politique de confidentialité], qu'elle utilise des outils d'IA et pour quelles tâches. Un contenu publié au nom de [l'entreprise] et produit pour l'essentiel par un outil d'IA porte une mention qui l'indique.</w:t>
      </w:r>
    </w:p>
    <w:p>
      <w:r>
        <w:rPr>
          <w:i/>
          <w:color w:val="5A5A5A"/>
          <w:sz w:val="18"/>
        </w:rPr>
        <w:t>Si vous ne communiquez pas sur ce point, supprimez la seconde phrase plutôt que de la laisser sans l'appliquer.</w:t>
      </w:r>
    </w:p>
    <w:p>
      <w:pPr>
        <w:pStyle w:val="Heading1"/>
      </w:pPr>
      <w:r>
        <w:t>Article 7. Usages exclus</w:t>
      </w:r>
    </w:p>
    <w:p>
      <w:r>
        <w:rPr>
          <w:i w:val="0"/>
        </w:rPr>
        <w:t>Aucun outil d'IA ne sert à trier des candidatures, à évaluer un salarié, à prendre une décision individuelle le concernant ni à reconnaître ses émotions. Aucun ne sert à contrôler l'activité d'un salarié, en dehors des outils de sécurité du système d'information inscrits à l'annexe 1. Tout outil permettant un contrôle de l'activité est porté à la connaissance des salariés avant sa mise en œuvre (article L1222-4 du code du travail)[ et soumis à la consultation du CSE (article L2312-38)].</w:t>
      </w:r>
    </w:p>
    <w:p>
      <w:r>
        <w:rPr>
          <w:i/>
          <w:color w:val="5A5A5A"/>
          <w:sz w:val="18"/>
        </w:rPr>
        <w:t>La reconnaissance des émotions sur le lieu de travail est interdite par l'article 5 du règlement européen sur l'IA, sauf raisons médicales ou de sécurité. La consultation du CSE sur les moyens de contrôle s'impose dès qu'il existe un CSE.</w:t>
      </w:r>
    </w:p>
    <w:p>
      <w:pPr>
        <w:pStyle w:val="Heading1"/>
      </w:pPr>
      <w:r>
        <w:t>Article 8. La personne qui tranche, et les incidents</w:t>
      </w:r>
    </w:p>
    <w:p>
      <w:r>
        <w:rPr>
          <w:i w:val="0"/>
        </w:rPr>
        <w:t>[Nom, fonction] tranche les cas que la charte ne prévoit pas, tient l'annexe 1 à jour et reçoit les signalements.</w:t>
      </w:r>
    </w:p>
    <w:p>
      <w:r>
        <w:rPr>
          <w:i w:val="0"/>
        </w:rPr>
        <w:t>Un salarié qui a saisi par erreur une donnée rouge le signale dès qu'il s'en aperçoit à [Nom]. [L'entreprise] demande alors la suppression à l'éditeur de l'outil et évalue, [avec son délégué à la protection des données,] s'il faut notifier la violation à la CNIL, ce qui doit être fait dans les 72 heures (article 33 du RGPD). Elle consigne l'incident dans son registre des violations. Un salarié qui signale de bonne foi une saisie faite par erreur n'est pas sanctionné pour cette erreur.</w:t>
      </w:r>
    </w:p>
    <w:p>
      <w:pPr>
        <w:pStyle w:val="Heading1"/>
      </w:pPr>
      <w:r>
        <w:t>Article 9. Formation</w:t>
      </w:r>
    </w:p>
    <w:p>
      <w:r>
        <w:rPr>
          <w:i w:val="0"/>
        </w:rPr>
        <w:t>Chaque salarié reçoit une formation à l'usage de l'IA et à la présente charte avant d'accéder à un outil autorisé. Les salariés qui utilisent déjà un outil la reçoivent dans les [trois] mois qui suivent l'entrée en vigueur de la charte. [L'entreprise] conserve la trace de ces formations.</w:t>
      </w:r>
    </w:p>
    <w:p>
      <w:pPr>
        <w:pStyle w:val="Heading1"/>
      </w:pPr>
      <w:r>
        <w:t>Article 10. Valeur de la charte et révision</w:t>
      </w:r>
    </w:p>
    <w:p>
      <w:r>
        <w:rPr>
          <w:i w:val="0"/>
        </w:rPr>
        <w:t>La présente charte [est une note de service / constitue une adjonction au règlement intérieur]. [Si adjonction : elle a été soumise à l'avis du CSE le [date], communiquée avec cet avis à l'inspection du travail, déposée au greffe du conseil de prud'hommes de [ville] et portée à la connaissance des salariés le [date].] Elle entre en vigueur le [date, au moins un mois après le dépôt et la publicité].</w:t>
      </w:r>
    </w:p>
    <w:p>
      <w:r>
        <w:rPr>
          <w:i w:val="0"/>
        </w:rPr>
        <w:t>La charte est revue chaque année et à chaque ajout d'un outil à l'annexe 1. Les annexes se mettent à jour sans nouvelle adoption de la charte.</w:t>
      </w:r>
    </w:p>
    <w:p>
      <w:r>
        <w:rPr>
          <w:i/>
          <w:color w:val="5A5A5A"/>
          <w:sz w:val="18"/>
        </w:rPr>
        <w:t>Un document qui fixe des obligations générales et permanentes en matière de discipline suit la procédure du règlement intérieur, que l'entreprise en ait un ou non (articles L1321-4 et L1321-5 du code du travail). Sans cette procédure, un manquement à la charte ne peut pas, à lui seul, fonder une sanction. Le CSE existe à partir de onze salariés, le règlement intérieur est obligatoire à partir de cinquante. Faites valider ce point par votre conseil en droit social.</w:t>
      </w:r>
    </w:p>
    <w:p>
      <w:r>
        <w:br w:type="page"/>
      </w:r>
    </w:p>
    <w:p>
      <w:pPr>
        <w:pStyle w:val="Heading1"/>
      </w:pPr>
      <w:r>
        <w:t>Annexe 1. Outils autorisés</w:t>
      </w:r>
    </w:p>
    <w:p>
      <w:r>
        <w:rPr>
          <w:i w:val="0"/>
          <w:color w:val="5A5A5A"/>
          <w:sz w:val="18"/>
        </w:rPr>
        <w:t>Mise à jour le [date] par [Nom].</w:t>
      </w:r>
    </w:p>
    <w:tbl>
      <w:tblPr>
        <w:tblStyle w:val="TableGrid"/>
        <w:tblW w:type="auto" w:w="0"/>
        <w:jc w:val="center"/>
        <w:tblLook w:firstColumn="1" w:firstRow="1" w:lastColumn="0" w:lastRow="0" w:noHBand="0" w:noVBand="1" w:val="04A0"/>
      </w:tblPr>
      <w:tblGrid>
        <w:gridCol w:w="1950"/>
        <w:gridCol w:w="1950"/>
        <w:gridCol w:w="1950"/>
        <w:gridCol w:w="1950"/>
        <w:gridCol w:w="1950"/>
      </w:tblGrid>
      <w:tr>
        <w:tc>
          <w:tcPr>
            <w:tcW w:type="dxa" w:w="2041"/>
            <w:shd w:val="clear" w:color="auto" w:fill="1B4A3C"/>
          </w:tcPr>
          <w:p>
            <w:r/>
            <w:r>
              <w:rPr>
                <w:b/>
                <w:color w:val="FFFFFF"/>
                <w:sz w:val="19"/>
              </w:rPr>
              <w:t>Outil</w:t>
            </w:r>
          </w:p>
        </w:tc>
        <w:tc>
          <w:tcPr>
            <w:tcW w:type="dxa" w:w="1701"/>
            <w:shd w:val="clear" w:color="auto" w:fill="1B4A3C"/>
          </w:tcPr>
          <w:p>
            <w:r/>
            <w:r>
              <w:rPr>
                <w:b/>
                <w:color w:val="FFFFFF"/>
                <w:sz w:val="19"/>
              </w:rPr>
              <w:t>Type de compte</w:t>
            </w:r>
          </w:p>
        </w:tc>
        <w:tc>
          <w:tcPr>
            <w:tcW w:type="dxa" w:w="2381"/>
            <w:shd w:val="clear" w:color="auto" w:fill="1B4A3C"/>
          </w:tcPr>
          <w:p>
            <w:r/>
            <w:r>
              <w:rPr>
                <w:b/>
                <w:color w:val="FFFFFF"/>
                <w:sz w:val="19"/>
              </w:rPr>
              <w:t>Usages autorisés</w:t>
            </w:r>
          </w:p>
        </w:tc>
        <w:tc>
          <w:tcPr>
            <w:tcW w:type="dxa" w:w="1361"/>
            <w:shd w:val="clear" w:color="auto" w:fill="1B4A3C"/>
          </w:tcPr>
          <w:p>
            <w:r/>
            <w:r>
              <w:rPr>
                <w:b/>
                <w:color w:val="FFFFFF"/>
                <w:sz w:val="19"/>
              </w:rPr>
              <w:t>Couleurs admises</w:t>
            </w:r>
          </w:p>
        </w:tc>
        <w:tc>
          <w:tcPr>
            <w:tcW w:type="dxa" w:w="1928"/>
            <w:shd w:val="clear" w:color="auto" w:fill="1B4A3C"/>
          </w:tcPr>
          <w:p>
            <w:r/>
            <w:r>
              <w:rPr>
                <w:b/>
                <w:color w:val="FFFFFF"/>
                <w:sz w:val="19"/>
              </w:rPr>
              <w:t>Contrat (art. 28 RGPD), non-réutilisation, registre</w:t>
            </w:r>
          </w:p>
        </w:tc>
      </w:tr>
      <w:tr>
        <w:tc>
          <w:tcPr>
            <w:tcW w:type="dxa" w:w="2041"/>
          </w:tcPr>
          <w:p>
            <w:r/>
            <w:r>
              <w:rPr>
                <w:sz w:val="19"/>
              </w:rPr>
              <w:t>[Assistant conversationnel retenu]</w:t>
            </w:r>
          </w:p>
        </w:tc>
        <w:tc>
          <w:tcPr>
            <w:tcW w:type="dxa" w:w="1701"/>
          </w:tcPr>
          <w:p>
            <w:r/>
            <w:r>
              <w:rPr>
                <w:sz w:val="19"/>
              </w:rPr>
              <w:t>[Licence entreprise, compte nominatif]</w:t>
            </w:r>
          </w:p>
        </w:tc>
        <w:tc>
          <w:tcPr>
            <w:tcW w:type="dxa" w:w="2381"/>
          </w:tcPr>
          <w:p>
            <w:r/>
            <w:r>
              <w:rPr>
                <w:sz w:val="19"/>
              </w:rPr>
              <w:t>[Rédaction, synthèse, reformulation]</w:t>
            </w:r>
          </w:p>
        </w:tc>
        <w:tc>
          <w:tcPr>
            <w:tcW w:type="dxa" w:w="1361"/>
          </w:tcPr>
          <w:p>
            <w:r/>
            <w:r>
              <w:rPr>
                <w:sz w:val="19"/>
              </w:rPr>
              <w:t>Vert, orange</w:t>
            </w:r>
          </w:p>
        </w:tc>
        <w:tc>
          <w:tcPr>
            <w:tcW w:type="dxa" w:w="1928"/>
          </w:tcPr>
          <w:p>
            <w:r/>
            <w:r>
              <w:rPr>
                <w:sz w:val="19"/>
              </w:rPr>
              <w:t>[Oui / non concerné]</w:t>
            </w:r>
          </w:p>
        </w:tc>
      </w:tr>
      <w:tr>
        <w:tc>
          <w:tcPr>
            <w:tcW w:type="dxa" w:w="2041"/>
          </w:tcPr>
          <w:p>
            <w:r/>
            <w:r>
              <w:rPr>
                <w:sz w:val="19"/>
              </w:rPr>
              <w:t>[Fonction IA du logiciel de bureautique]</w:t>
            </w:r>
          </w:p>
        </w:tc>
        <w:tc>
          <w:tcPr>
            <w:tcW w:type="dxa" w:w="1701"/>
          </w:tcPr>
          <w:p>
            <w:r/>
            <w:r>
              <w:rPr>
                <w:sz w:val="19"/>
              </w:rPr>
              <w:t>[Compte professionnel]</w:t>
            </w:r>
          </w:p>
        </w:tc>
        <w:tc>
          <w:tcPr>
            <w:tcW w:type="dxa" w:w="2381"/>
          </w:tcPr>
          <w:p>
            <w:r/>
            <w:r>
              <w:rPr>
                <w:sz w:val="19"/>
              </w:rPr>
              <w:t>[Résumé de réunion, recherche dans les documents internes]</w:t>
            </w:r>
          </w:p>
        </w:tc>
        <w:tc>
          <w:tcPr>
            <w:tcW w:type="dxa" w:w="1361"/>
          </w:tcPr>
          <w:p>
            <w:r/>
            <w:r>
              <w:rPr>
                <w:sz w:val="19"/>
              </w:rPr>
              <w:t>Vert, orange</w:t>
            </w:r>
          </w:p>
        </w:tc>
        <w:tc>
          <w:tcPr>
            <w:tcW w:type="dxa" w:w="1928"/>
          </w:tcPr>
          <w:p>
            <w:r/>
            <w:r>
              <w:rPr>
                <w:sz w:val="19"/>
              </w:rPr>
              <w:t>[Oui]</w:t>
            </w:r>
          </w:p>
        </w:tc>
      </w:tr>
      <w:tr>
        <w:tc>
          <w:tcPr>
            <w:tcW w:type="dxa" w:w="2041"/>
          </w:tcPr>
          <w:p>
            <w:r/>
            <w:r>
              <w:rPr>
                <w:sz w:val="19"/>
              </w:rPr>
              <w:t>[Outil métier avec IA intégrée]</w:t>
            </w:r>
          </w:p>
        </w:tc>
        <w:tc>
          <w:tcPr>
            <w:tcW w:type="dxa" w:w="1701"/>
          </w:tcPr>
          <w:p>
            <w:r/>
            <w:r>
              <w:rPr>
                <w:sz w:val="19"/>
              </w:rPr>
              <w:t>[Compte professionnel]</w:t>
            </w:r>
          </w:p>
        </w:tc>
        <w:tc>
          <w:tcPr>
            <w:tcW w:type="dxa" w:w="2381"/>
          </w:tcPr>
          <w:p>
            <w:r/>
            <w:r>
              <w:rPr>
                <w:sz w:val="19"/>
              </w:rPr>
              <w:t>[Tâche précise]</w:t>
            </w:r>
          </w:p>
        </w:tc>
        <w:tc>
          <w:tcPr>
            <w:tcW w:type="dxa" w:w="1361"/>
          </w:tcPr>
          <w:p>
            <w:r/>
            <w:r>
              <w:rPr>
                <w:sz w:val="19"/>
              </w:rPr>
              <w:t>[Vert, orange, rouge]</w:t>
            </w:r>
          </w:p>
        </w:tc>
        <w:tc>
          <w:tcPr>
            <w:tcW w:type="dxa" w:w="1928"/>
          </w:tcPr>
          <w:p>
            <w:r/>
            <w:r>
              <w:rPr>
                <w:sz w:val="19"/>
              </w:rPr>
              <w:t>[Oui, signé le …]</w:t>
            </w:r>
          </w:p>
        </w:tc>
      </w:tr>
      <w:tr>
        <w:tc>
          <w:tcPr>
            <w:tcW w:type="dxa" w:w="2041"/>
          </w:tcPr>
          <w:p>
            <w:r/>
            <w:r>
              <w:rPr>
                <w:sz w:val="19"/>
              </w:rPr>
              <w:t>[Outil de sécurité du système d'information]</w:t>
            </w:r>
          </w:p>
        </w:tc>
        <w:tc>
          <w:tcPr>
            <w:tcW w:type="dxa" w:w="1701"/>
          </w:tcPr>
          <w:p>
            <w:r/>
            <w:r>
              <w:rPr>
                <w:sz w:val="19"/>
              </w:rPr>
              <w:t>[Administrateur]</w:t>
            </w:r>
          </w:p>
        </w:tc>
        <w:tc>
          <w:tcPr>
            <w:tcW w:type="dxa" w:w="2381"/>
          </w:tcPr>
          <w:p>
            <w:r/>
            <w:r>
              <w:rPr>
                <w:sz w:val="19"/>
              </w:rPr>
              <w:t>[Filtrage des e-mails, détection d'intrusion]</w:t>
            </w:r>
          </w:p>
        </w:tc>
        <w:tc>
          <w:tcPr>
            <w:tcW w:type="dxa" w:w="1361"/>
          </w:tcPr>
          <w:p>
            <w:r/>
            <w:r>
              <w:rPr>
                <w:sz w:val="19"/>
              </w:rPr>
              <w:t>—</w:t>
            </w:r>
          </w:p>
        </w:tc>
        <w:tc>
          <w:tcPr>
            <w:tcW w:type="dxa" w:w="1928"/>
          </w:tcPr>
          <w:p>
            <w:r/>
            <w:r>
              <w:rPr>
                <w:sz w:val="19"/>
              </w:rPr>
              <w:t>[Oui]</w:t>
            </w:r>
          </w:p>
        </w:tc>
      </w:tr>
      <w:tr>
        <w:tc>
          <w:tcPr>
            <w:tcW w:type="dxa" w:w="2041"/>
          </w:tcPr>
          <w:p>
            <w:r/>
            <w:r>
              <w:rPr>
                <w:sz w:val="19"/>
              </w:rPr>
            </w:r>
          </w:p>
        </w:tc>
        <w:tc>
          <w:tcPr>
            <w:tcW w:type="dxa" w:w="1701"/>
          </w:tcPr>
          <w:p>
            <w:r/>
            <w:r>
              <w:rPr>
                <w:sz w:val="19"/>
              </w:rPr>
            </w:r>
          </w:p>
        </w:tc>
        <w:tc>
          <w:tcPr>
            <w:tcW w:type="dxa" w:w="2381"/>
          </w:tcPr>
          <w:p>
            <w:r/>
            <w:r>
              <w:rPr>
                <w:sz w:val="19"/>
              </w:rPr>
            </w:r>
          </w:p>
        </w:tc>
        <w:tc>
          <w:tcPr>
            <w:tcW w:type="dxa" w:w="1361"/>
          </w:tcPr>
          <w:p>
            <w:r/>
            <w:r>
              <w:rPr>
                <w:sz w:val="19"/>
              </w:rPr>
            </w:r>
          </w:p>
        </w:tc>
        <w:tc>
          <w:tcPr>
            <w:tcW w:type="dxa" w:w="1928"/>
          </w:tcPr>
          <w:p>
            <w:r/>
            <w:r>
              <w:rPr>
                <w:sz w:val="19"/>
              </w:rPr>
            </w:r>
          </w:p>
        </w:tc>
      </w:tr>
    </w:tbl>
    <w:p/>
    <w:p>
      <w:r>
        <w:rPr>
          <w:i/>
          <w:color w:val="5A5A5A"/>
          <w:sz w:val="18"/>
        </w:rPr>
        <w:t>Ne nommez aucun outil dans le corps de la charte : c'est cette annexe qui change quand vos outils changent. Avant d'autoriser une recherche dans les documents internes, vérifiez qui a accès aux dossiers rouges : l'outil cherche dans tout ce que le salarié peut ouvrir.</w:t>
      </w:r>
    </w:p>
    <w:p>
      <w:pPr>
        <w:pStyle w:val="Heading1"/>
      </w:pPr>
      <w:r>
        <w:t>Annexe 2. Classement de nos documents</w:t>
      </w:r>
    </w:p>
    <w:p>
      <w:r>
        <w:rPr>
          <w:i w:val="0"/>
          <w:color w:val="5A5A5A"/>
          <w:sz w:val="18"/>
        </w:rPr>
        <w:t>Chaque type de document de [l'entreprise], avec sa couleur selon l'article 3.</w:t>
      </w:r>
    </w:p>
    <w:tbl>
      <w:tblPr>
        <w:tblStyle w:val="TableGrid"/>
        <w:tblW w:type="auto" w:w="0"/>
        <w:jc w:val="center"/>
        <w:tblLook w:firstColumn="1" w:firstRow="1" w:lastColumn="0" w:lastRow="0" w:noHBand="0" w:noVBand="1" w:val="04A0"/>
      </w:tblPr>
      <w:tblGrid>
        <w:gridCol w:w="3251"/>
        <w:gridCol w:w="3251"/>
        <w:gridCol w:w="3251"/>
      </w:tblGrid>
      <w:tr>
        <w:tc>
          <w:tcPr>
            <w:tcW w:type="dxa" w:w="3969"/>
            <w:shd w:val="clear" w:color="auto" w:fill="1B4A3C"/>
          </w:tcPr>
          <w:p>
            <w:r/>
            <w:r>
              <w:rPr>
                <w:b/>
                <w:color w:val="FFFFFF"/>
                <w:sz w:val="19"/>
              </w:rPr>
              <w:t>Type de document</w:t>
            </w:r>
          </w:p>
        </w:tc>
        <w:tc>
          <w:tcPr>
            <w:tcW w:type="dxa" w:w="1304"/>
            <w:shd w:val="clear" w:color="auto" w:fill="1B4A3C"/>
          </w:tcPr>
          <w:p>
            <w:r/>
            <w:r>
              <w:rPr>
                <w:b/>
                <w:color w:val="FFFFFF"/>
                <w:sz w:val="19"/>
              </w:rPr>
              <w:t>Couleur</w:t>
            </w:r>
          </w:p>
        </w:tc>
        <w:tc>
          <w:tcPr>
            <w:tcW w:type="dxa" w:w="4139"/>
            <w:shd w:val="clear" w:color="auto" w:fill="1B4A3C"/>
          </w:tcPr>
          <w:p>
            <w:r/>
            <w:r>
              <w:rPr>
                <w:b/>
                <w:color w:val="FFFFFF"/>
                <w:sz w:val="19"/>
              </w:rPr>
              <w:t>Condition ou précision</w:t>
            </w:r>
          </w:p>
        </w:tc>
      </w:tr>
      <w:tr>
        <w:tc>
          <w:tcPr>
            <w:tcW w:type="dxa" w:w="3969"/>
          </w:tcPr>
          <w:p>
            <w:r/>
            <w:r>
              <w:rPr>
                <w:sz w:val="19"/>
              </w:rPr>
              <w:t>[Documentation publique d'un produit, texte de loi]</w:t>
            </w:r>
          </w:p>
        </w:tc>
        <w:tc>
          <w:tcPr>
            <w:tcW w:type="dxa" w:w="1304"/>
            <w:shd w:val="clear" w:color="auto" w:fill="E3ECE8"/>
          </w:tcPr>
          <w:p>
            <w:r/>
            <w:r>
              <w:rPr>
                <w:sz w:val="19"/>
              </w:rPr>
              <w:t>Vert</w:t>
            </w:r>
          </w:p>
        </w:tc>
        <w:tc>
          <w:tcPr>
            <w:tcW w:type="dxa" w:w="4139"/>
          </w:tcPr>
          <w:p>
            <w:r/>
            <w:r>
              <w:rPr>
                <w:sz w:val="19"/>
              </w:rPr>
              <w:t>—</w:t>
            </w:r>
          </w:p>
        </w:tc>
      </w:tr>
      <w:tr>
        <w:tc>
          <w:tcPr>
            <w:tcW w:type="dxa" w:w="3969"/>
          </w:tcPr>
          <w:p>
            <w:r/>
            <w:r>
              <w:rPr>
                <w:sz w:val="19"/>
              </w:rPr>
              <w:t>[Procédure interne, modèle de courrier vierge]</w:t>
            </w:r>
          </w:p>
        </w:tc>
        <w:tc>
          <w:tcPr>
            <w:tcW w:type="dxa" w:w="1304"/>
            <w:shd w:val="clear" w:color="auto" w:fill="F6EEDC"/>
          </w:tcPr>
          <w:p>
            <w:r/>
            <w:r>
              <w:rPr>
                <w:sz w:val="19"/>
              </w:rPr>
              <w:t>Orange</w:t>
            </w:r>
          </w:p>
        </w:tc>
        <w:tc>
          <w:tcPr>
            <w:tcW w:type="dxa" w:w="4139"/>
          </w:tcPr>
          <w:p>
            <w:r/>
            <w:r>
              <w:rPr>
                <w:sz w:val="19"/>
              </w:rPr>
              <w:t>[Sans nom de client ni montant]</w:t>
            </w:r>
          </w:p>
        </w:tc>
      </w:tr>
      <w:tr>
        <w:tc>
          <w:tcPr>
            <w:tcW w:type="dxa" w:w="3969"/>
          </w:tcPr>
          <w:p>
            <w:r/>
            <w:r>
              <w:rPr>
                <w:sz w:val="19"/>
              </w:rPr>
              <w:t>[Compte rendu de réunion interne]</w:t>
            </w:r>
          </w:p>
        </w:tc>
        <w:tc>
          <w:tcPr>
            <w:tcW w:type="dxa" w:w="1304"/>
            <w:shd w:val="clear" w:color="auto" w:fill="F6EEDC"/>
          </w:tcPr>
          <w:p>
            <w:r/>
            <w:r>
              <w:rPr>
                <w:sz w:val="19"/>
              </w:rPr>
              <w:t>Orange</w:t>
            </w:r>
          </w:p>
        </w:tc>
        <w:tc>
          <w:tcPr>
            <w:tcW w:type="dxa" w:w="4139"/>
          </w:tcPr>
          <w:p>
            <w:r/>
            <w:r>
              <w:rPr>
                <w:sz w:val="19"/>
              </w:rPr>
              <w:t>[Noms retirés, relecture par le responsable]</w:t>
            </w:r>
          </w:p>
        </w:tc>
      </w:tr>
      <w:tr>
        <w:tc>
          <w:tcPr>
            <w:tcW w:type="dxa" w:w="3969"/>
          </w:tcPr>
          <w:p>
            <w:r/>
            <w:r>
              <w:rPr>
                <w:sz w:val="19"/>
              </w:rPr>
              <w:t>[Contrat client, facture, devis nominatif]</w:t>
            </w:r>
          </w:p>
        </w:tc>
        <w:tc>
          <w:tcPr>
            <w:tcW w:type="dxa" w:w="1304"/>
            <w:shd w:val="clear" w:color="auto" w:fill="F2E2DF"/>
          </w:tcPr>
          <w:p>
            <w:r/>
            <w:r>
              <w:rPr>
                <w:sz w:val="19"/>
              </w:rPr>
              <w:t>Rouge</w:t>
            </w:r>
          </w:p>
        </w:tc>
        <w:tc>
          <w:tcPr>
            <w:tcW w:type="dxa" w:w="4139"/>
          </w:tcPr>
          <w:p>
            <w:r/>
            <w:r>
              <w:rPr>
                <w:sz w:val="19"/>
              </w:rPr>
              <w:t>[Seulement dans l'outil métier de l'annexe 1]</w:t>
            </w:r>
          </w:p>
        </w:tc>
      </w:tr>
      <w:tr>
        <w:tc>
          <w:tcPr>
            <w:tcW w:type="dxa" w:w="3969"/>
          </w:tcPr>
          <w:p>
            <w:r/>
            <w:r>
              <w:rPr>
                <w:sz w:val="19"/>
              </w:rPr>
              <w:t>[Dossier du personnel, paie]</w:t>
            </w:r>
          </w:p>
        </w:tc>
        <w:tc>
          <w:tcPr>
            <w:tcW w:type="dxa" w:w="1304"/>
            <w:shd w:val="clear" w:color="auto" w:fill="F2E2DF"/>
          </w:tcPr>
          <w:p>
            <w:r/>
            <w:r>
              <w:rPr>
                <w:sz w:val="19"/>
              </w:rPr>
              <w:t>Rouge</w:t>
            </w:r>
          </w:p>
        </w:tc>
        <w:tc>
          <w:tcPr>
            <w:tcW w:type="dxa" w:w="4139"/>
          </w:tcPr>
          <w:p>
            <w:r/>
            <w:r>
              <w:rPr>
                <w:sz w:val="19"/>
              </w:rPr>
              <w:t>[Jamais]</w:t>
            </w:r>
          </w:p>
        </w:tc>
      </w:tr>
      <w:tr>
        <w:tc>
          <w:tcPr>
            <w:tcW w:type="dxa" w:w="3969"/>
          </w:tcPr>
          <w:p>
            <w:r/>
            <w:r>
              <w:rPr>
                <w:sz w:val="19"/>
              </w:rPr>
            </w:r>
          </w:p>
        </w:tc>
        <w:tc>
          <w:tcPr>
            <w:tcW w:type="dxa" w:w="1304"/>
          </w:tcPr>
          <w:p>
            <w:r/>
            <w:r>
              <w:rPr>
                <w:sz w:val="19"/>
              </w:rPr>
            </w:r>
          </w:p>
        </w:tc>
        <w:tc>
          <w:tcPr>
            <w:tcW w:type="dxa" w:w="4139"/>
          </w:tcPr>
          <w:p>
            <w:r/>
            <w:r>
              <w:rPr>
                <w:sz w:val="19"/>
              </w:rPr>
            </w:r>
          </w:p>
        </w:tc>
      </w:tr>
    </w:tbl>
    <w:p/>
    <w:p>
      <w:r>
        <w:rPr>
          <w:i/>
          <w:color w:val="5A5A5A"/>
          <w:sz w:val="18"/>
        </w:rPr>
        <w:t>C'est cette annexe qui permet à un salarié de trancher seul : classez vos documents réels, service par service, avec les personnes qui les manipulent.</w:t>
      </w:r>
    </w:p>
    <w:p>
      <w:r>
        <w:br w:type="page"/>
      </w:r>
    </w:p>
    <w:p>
      <w:pPr>
        <w:pStyle w:val="Heading1"/>
      </w:pPr>
      <w:r>
        <w:t>Accusé de lecture</w:t>
      </w:r>
    </w:p>
    <w:p>
      <w:r>
        <w:rPr>
          <w:i w:val="0"/>
        </w:rPr>
        <w:t>Je soussigné(e) [nom, prénom], [fonction], déclare avoir reçu et lu la charte d'usage de l'intelligence artificielle de [l'entreprise], version [1.0].</w:t>
      </w:r>
    </w:p>
    <w:p>
      <w:r>
        <w:rPr>
          <w:i w:val="0"/>
        </w:rPr>
        <w:t>Fait à [ville], le [date].        Signature :</w:t>
      </w:r>
    </w:p>
    <w:sectPr w:rsidR="00FC693F" w:rsidRPr="0006063C" w:rsidSect="00034616">
      <w:footerReference w:type="default" r:id="rId9"/>
      <w:pgSz w:w="11906" w:h="16838"/>
      <w:pgMar w:top="907" w:right="1077" w:bottom="907"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D'après le modèle de charte IA d'IzaIA · izaia.fr/charte-ia/ · licence CC BY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eastAsia="Calibri" w:cs="Calibri"/>
      <w:b/>
      <w:bCs/>
      <w:color w:val="1B4A3C"/>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Calibri" w:cs="Calibri"/>
      <w:b/>
      <w:bCs/>
      <w:color w:val="1B4A3C"/>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eastAsia="Calibri" w:cs="Calibri"/>
      <w:b/>
      <w:color w:val="1B4A3C"/>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charte d'usage de l'IA en entreprise</dc:title>
  <dc:subject/>
  <dc:creator>IzaIA</dc:creator>
  <cp:keywords>charte IA</cp:keywords>
  <dc:description/>
  <cp:lastModifiedBy>IzaIA</cp:lastModifiedBy>
  <cp:revision>1</cp:revision>
  <dcterms:created xsi:type="dcterms:W3CDTF">2026-10-10T12:00:00Z</dcterms:created>
  <dcterms:modified xsi:type="dcterms:W3CDTF">2026-10-10T12:00:00Z</dcterms:modified>
  <cp:category/>
</cp:coreProperties>
</file>