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Charte d'usage de l'intelligence artificielle</w:t>
      </w:r>
    </w:p>
    <w:p>
      <w:r>
        <w:rPr>
          <w:i w:val="0"/>
          <w:sz w:val="26"/>
        </w:rPr>
        <w:t>[Nom de la collectivité]</w:t>
      </w:r>
    </w:p>
    <w:p>
      <w:r>
        <w:rPr>
          <w:i w:val="0"/>
          <w:color w:val="5A5A5A"/>
          <w:sz w:val="18"/>
        </w:rPr>
        <w:t>Version [1.0] du [date]. Adoptée par [délibération du conseil municipal n° … / note de service de l'autorité territoriale] le [date].</w:t>
      </w:r>
    </w:p>
    <w:p>
      <w:r>
        <w:rPr>
          <w:i/>
          <w:color w:val="5A5A5A"/>
          <w:sz w:val="18"/>
        </w:rPr>
        <w:t>Comment utiliser ce modèle : remplacez tout ce qui est entre crochets, supprimez les consignes en gris comme celle-ci, puis complétez les deux annexes. Ce modèle IzaIA n'est pas un modèle officiel : faites-le relire par votre service juridique et par votre délégué à la protection des données avant l'adoption. Il est publié sous licence CC BY 4.0 : vous pouvez le modifier et le diffuser, en gardant la mention de pied de page.</w:t>
      </w:r>
    </w:p>
    <w:p>
      <w:pPr>
        <w:pStyle w:val="Heading1"/>
      </w:pPr>
      <w:r>
        <w:t>Article 1. Objet et périmètre</w:t>
      </w:r>
    </w:p>
    <w:p>
      <w:r>
        <w:rPr>
          <w:i w:val="0"/>
        </w:rPr>
        <w:t>La présente charte fixe les règles d'usage des outils d'intelligence artificielle dans les services de [collectivité]. Elle s'applique à tout agent, titulaire ou contractuel, et à toute personne qui utilise un tel outil pour le compte de la collectivité.</w:t>
      </w:r>
    </w:p>
    <w:p>
      <w:r>
        <w:rPr>
          <w:i w:val="0"/>
        </w:rPr>
        <w:t>Est un outil d'intelligence artificielle, au sens de la présente charte, tout logiciel qui produit un texte, une image, une synthèse ou une recommandation à partir de ce qu'on lui soumet, y compris les fonctions d'IA ajoutées aux logiciels métiers et de bureautique.</w:t>
      </w:r>
    </w:p>
    <w:p>
      <w:r>
        <w:rPr>
          <w:i/>
          <w:color w:val="5A5A5A"/>
          <w:sz w:val="18"/>
        </w:rPr>
        <w:t>Si la charte vise aussi les élus pour l'exercice de leur mandat, ajoutez-les au premier alinéa et adoptez-la par délibération.</w:t>
      </w:r>
    </w:p>
    <w:p>
      <w:pPr>
        <w:pStyle w:val="Heading1"/>
      </w:pPr>
      <w:r>
        <w:t>Article 2. Outils autorisés et comptes professionnels</w:t>
      </w:r>
    </w:p>
    <w:p>
      <w:r>
        <w:rPr>
          <w:i w:val="0"/>
        </w:rPr>
        <w:t>Les agents utilisent les seuls outils listés en annexe 1, avec le compte professionnel que la collectivité leur ouvre. Aucun document de la collectivité ne passe par un compte personnel.</w:t>
      </w:r>
    </w:p>
    <w:p>
      <w:r>
        <w:rPr>
          <w:i/>
          <w:color w:val="5A5A5A"/>
          <w:sz w:val="18"/>
        </w:rPr>
        <w:t>Ne nommez aucun produit dans cet article : quand vos outils changent, c'est l'annexe 1 qui change, pas la charte.</w:t>
      </w:r>
    </w:p>
    <w:p>
      <w:pPr>
        <w:pStyle w:val="Heading1"/>
      </w:pPr>
      <w:r>
        <w:t>Article 3. La règle de saisie et les données qui ne se saisissent jamais</w:t>
      </w:r>
    </w:p>
    <w:p>
      <w:r>
        <w:rPr>
          <w:i w:val="0"/>
        </w:rPr>
        <w:t>Avant de soumettre un document ou une information à un outil d'IA, l'agent vérifie sa couleur. L'annexe 2 classe les documents de la collectivité selon ces trois couleurs.</w:t>
      </w:r>
    </w:p>
    <w:tbl>
      <w:tblPr>
        <w:tblStyle w:val="TableGrid"/>
        <w:tblW w:type="auto" w:w="0"/>
        <w:jc w:val="center"/>
        <w:tblLook w:firstColumn="1" w:firstRow="1" w:lastColumn="0" w:lastRow="0" w:noHBand="0" w:noVBand="1" w:val="04A0"/>
      </w:tblPr>
      <w:tblGrid>
        <w:gridCol w:w="3251"/>
        <w:gridCol w:w="3251"/>
        <w:gridCol w:w="3251"/>
      </w:tblGrid>
      <w:tr>
        <w:tc>
          <w:tcPr>
            <w:tcW w:type="dxa" w:w="1304"/>
            <w:shd w:val="clear" w:color="auto" w:fill="1B4A3C"/>
          </w:tcPr>
          <w:p>
            <w:r/>
            <w:r>
              <w:rPr>
                <w:b/>
                <w:i w:val="0"/>
                <w:color w:val="FFFFFF"/>
                <w:sz w:val="19"/>
              </w:rPr>
              <w:t>Couleur</w:t>
            </w:r>
          </w:p>
        </w:tc>
        <w:tc>
          <w:tcPr>
            <w:tcW w:type="dxa" w:w="4876"/>
            <w:shd w:val="clear" w:color="auto" w:fill="1B4A3C"/>
          </w:tcPr>
          <w:p>
            <w:r/>
            <w:r>
              <w:rPr>
                <w:b/>
                <w:i w:val="0"/>
                <w:color w:val="FFFFFF"/>
                <w:sz w:val="19"/>
              </w:rPr>
              <w:t>Ce qui entre dans la catégorie</w:t>
            </w:r>
          </w:p>
        </w:tc>
        <w:tc>
          <w:tcPr>
            <w:tcW w:type="dxa" w:w="3515"/>
            <w:shd w:val="clear" w:color="auto" w:fill="1B4A3C"/>
          </w:tcPr>
          <w:p>
            <w:r/>
            <w:r>
              <w:rPr>
                <w:b/>
                <w:i w:val="0"/>
                <w:color w:val="FFFFFF"/>
                <w:sz w:val="19"/>
              </w:rPr>
              <w:t>Ce que l'agent fait</w:t>
            </w:r>
          </w:p>
        </w:tc>
      </w:tr>
      <w:tr>
        <w:tc>
          <w:tcPr>
            <w:tcW w:type="dxa" w:w="1304"/>
            <w:shd w:val="clear" w:color="auto" w:fill="E3ECE8"/>
          </w:tcPr>
          <w:p>
            <w:r/>
            <w:r>
              <w:rPr>
                <w:i w:val="0"/>
                <w:sz w:val="19"/>
              </w:rPr>
              <w:t>Vert</w:t>
            </w:r>
          </w:p>
        </w:tc>
        <w:tc>
          <w:tcPr>
            <w:tcW w:type="dxa" w:w="4876"/>
          </w:tcPr>
          <w:p>
            <w:r/>
            <w:r>
              <w:rPr>
                <w:i w:val="0"/>
                <w:sz w:val="19"/>
              </w:rPr>
              <w:t>Ce qui est déjà public : texte réglementaire publié, délibération publiée, modèle vierge, documentation diffusable, données déjà anonymisées.</w:t>
            </w:r>
          </w:p>
        </w:tc>
        <w:tc>
          <w:tcPr>
            <w:tcW w:type="dxa" w:w="3515"/>
          </w:tcPr>
          <w:p>
            <w:r/>
            <w:r>
              <w:rPr>
                <w:i w:val="0"/>
                <w:sz w:val="19"/>
              </w:rPr>
              <w:t>Il utilise librement un outil de l'annexe 1.</w:t>
            </w:r>
          </w:p>
        </w:tc>
      </w:tr>
      <w:tr>
        <w:tc>
          <w:tcPr>
            <w:tcW w:type="dxa" w:w="1304"/>
            <w:shd w:val="clear" w:color="auto" w:fill="F6EEDC"/>
          </w:tcPr>
          <w:p>
            <w:r/>
            <w:r>
              <w:rPr>
                <w:i w:val="0"/>
                <w:sz w:val="19"/>
              </w:rPr>
              <w:t>Orange</w:t>
            </w:r>
          </w:p>
        </w:tc>
        <w:tc>
          <w:tcPr>
            <w:tcW w:type="dxa" w:w="4876"/>
          </w:tcPr>
          <w:p>
            <w:r/>
            <w:r>
              <w:rPr>
                <w:i w:val="0"/>
                <w:sz w:val="19"/>
              </w:rPr>
              <w:t>Un projet d'e-mail, un compte rendu de réunion, un projet d'arrêté, une note de synthèse.</w:t>
            </w:r>
          </w:p>
        </w:tc>
        <w:tc>
          <w:tcPr>
            <w:tcW w:type="dxa" w:w="3515"/>
          </w:tcPr>
          <w:p>
            <w:r/>
            <w:r>
              <w:rPr>
                <w:i w:val="0"/>
                <w:sz w:val="19"/>
              </w:rPr>
              <w:t>Il remplace les noms, adresses et montants par des balises, utilise un outil de l'annexe 1, puis un responsable relit avant diffusion.</w:t>
            </w:r>
          </w:p>
        </w:tc>
      </w:tr>
      <w:tr>
        <w:tc>
          <w:tcPr>
            <w:tcW w:type="dxa" w:w="1304"/>
            <w:shd w:val="clear" w:color="auto" w:fill="F2E2DF"/>
          </w:tcPr>
          <w:p>
            <w:r/>
            <w:r>
              <w:rPr>
                <w:i w:val="0"/>
                <w:sz w:val="19"/>
              </w:rPr>
              <w:t>Rouge</w:t>
            </w:r>
          </w:p>
        </w:tc>
        <w:tc>
          <w:tcPr>
            <w:tcW w:type="dxa" w:w="4876"/>
          </w:tcPr>
          <w:p>
            <w:r/>
            <w:r>
              <w:rPr>
                <w:i w:val="0"/>
                <w:sz w:val="19"/>
              </w:rPr>
              <w:t>Ce qui permet de reconnaître un administré : son identité et ses coordonnées, sa situation sociale, un dossier du centre communal d'action sociale, un signalement social, des données de santé, l'état civil nominatif.</w:t>
            </w:r>
          </w:p>
        </w:tc>
        <w:tc>
          <w:tcPr>
            <w:tcW w:type="dxa" w:w="3515"/>
          </w:tcPr>
          <w:p>
            <w:r/>
            <w:r>
              <w:rPr>
                <w:i w:val="0"/>
                <w:sz w:val="19"/>
              </w:rPr>
              <w:t>Il ne le saisit dans aucun assistant d'usage général. Seul un agent IA inscrit à l'annexe 1, dans les conditions du présent article, peut le lire.</w:t>
            </w:r>
          </w:p>
        </w:tc>
      </w:tr>
    </w:tbl>
    <w:p/>
    <w:p>
      <w:r>
        <w:rPr>
          <w:i w:val="0"/>
        </w:rPr>
        <w:t>Ne sont jamais saisis dans un assistant d'IA d'usage général, même sous contrat : l'identité et les coordonnées d'un administré, sa situation sociale, les dossiers du centre communal d'action sociale, les données de santé, l'état civil nominatif et les signalements sociaux.</w:t>
      </w:r>
    </w:p>
    <w:p>
      <w:r>
        <w:rPr>
          <w:i w:val="0"/>
        </w:rPr>
        <w:t>Un agent IA que la collectivité a déployé pour une tâche définie peut lire les demandes des administrés, leurs e-mails et leurs signalements de voirie à quatre conditions : il figure à l'annexe 1, un contrat de sous-traitance l'encadre (article 28 du RGPD), il est inscrit au registre des traitements (article 30), et le délégué à la protection des données a donné son avis. Aucun agent IA ne lit les dossiers du centre communal d'action sociale, les données de santé ni l'état civil nominatif.</w:t>
      </w:r>
    </w:p>
    <w:p>
      <w:r>
        <w:rPr>
          <w:i w:val="0"/>
        </w:rPr>
        <w:t>En cas de doute sur la couleur, l'agent traite le document comme rouge et pose la question à la personne désignée à l'article 7.</w:t>
      </w:r>
    </w:p>
    <w:p>
      <w:r>
        <w:rPr>
          <w:i/>
          <w:color w:val="5A5A5A"/>
          <w:sz w:val="18"/>
        </w:rPr>
        <w:t>Les articles L121-6 et L121-7 du code général de la fonction publique tiennent l'agent au secret et à la discrétion professionnels. Ils ne parlent pas d'IA : la règle de saisie est celle que la charte en tire. Dans une commune de quelques centaines d'habitants, retirer le nom ne suffit pas toujours : « le boulanger de la place » désigne une personne aussi sûrement qu'un état civil.</w:t>
      </w:r>
    </w:p>
    <w:p>
      <w:pPr>
        <w:pStyle w:val="Heading1"/>
      </w:pPr>
      <w:r>
        <w:t>Article 4. Relecture avant diffusion et signature</w:t>
      </w:r>
    </w:p>
    <w:p>
      <w:r>
        <w:rPr>
          <w:i w:val="0"/>
        </w:rPr>
        <w:t>L'agent relit tout texte préparé avec un outil d'IA avant de l'envoyer. Il vérifie à sa source chaque référence que l'outil cite : texte, article, date. Un texte qui engage la collectivité ou qui est publié en son nom est validé par [fonction] et signé par l'autorité compétente.</w:t>
      </w:r>
    </w:p>
    <w:p>
      <w:pPr>
        <w:pStyle w:val="Heading1"/>
      </w:pPr>
      <w:r>
        <w:t>Article 5. Transparence envers les administrés</w:t>
      </w:r>
    </w:p>
    <w:p>
      <w:r>
        <w:rPr>
          <w:i w:val="0"/>
        </w:rPr>
        <w:t>Une réponse à un administré dont l'outil d'IA a produit le contenu porte une mention qui l'indique. Un texte que l'outil a seulement reformulé ou corrigé n'en porte pas.</w:t>
      </w:r>
    </w:p>
    <w:p>
      <w:r>
        <w:rPr>
          <w:i/>
          <w:color w:val="5A5A5A"/>
          <w:sz w:val="18"/>
        </w:rPr>
        <w:t>Deux textes encadrent ce point. Selon l'article L311-3-1 du code des relations entre le public et l'administration, une décision individuelle prise sur le fondement d'un traitement algorithmique comporte une mention explicite qui en informe l'intéressé. Selon l'article 50 du règlement européen sur l'IA, applicable depuis le 2 août 2026, celui qui publie un texte généré par IA pour informer le public sur des questions d'intérêt public l'indique, sauf si le texte a été relu et validé par une personne qui en assume la responsabilité éditoriale.</w:t>
      </w:r>
    </w:p>
    <w:p>
      <w:pPr>
        <w:pStyle w:val="Heading1"/>
      </w:pPr>
      <w:r>
        <w:t>Article 6. Usages exclus</w:t>
      </w:r>
    </w:p>
    <w:p>
      <w:r>
        <w:rPr>
          <w:i w:val="0"/>
        </w:rPr>
        <w:t>Aucun outil d'IA ne sert à trier des candidatures, à évaluer le droit d'une personne à une aide sociale ni à identifier une personne par ses caractéristiques biométriques. Aucun ne prend part à une décision individuelle sans avis préalable de la personne qui tranche et du délégué à la protection des données.</w:t>
      </w:r>
    </w:p>
    <w:p>
      <w:r>
        <w:rPr>
          <w:i/>
          <w:color w:val="5A5A5A"/>
          <w:sz w:val="18"/>
        </w:rPr>
        <w:t>L'annexe III du règlement européen sur l'IA classe ces usages à haut risque. Ils ne sont pas interdits, sauf les usages biométriques que l'article 5 prohibe, mais ils sont soumis à des obligations propres à partir du 2 décembre 2027, dont une analyse d'impact sur les droits fondamentaux pour les organismes de droit public (article 27). Si votre collectivité envisage l'un d'eux, retirez-le de cet article après avis de votre service juridique, et ne le laissez pas sans règle.</w:t>
      </w:r>
    </w:p>
    <w:p>
      <w:pPr>
        <w:pStyle w:val="Heading1"/>
      </w:pPr>
      <w:r>
        <w:t>Article 7. La personne qui tranche</w:t>
      </w:r>
    </w:p>
    <w:p>
      <w:r>
        <w:rPr>
          <w:i w:val="0"/>
        </w:rPr>
        <w:t>[Nom, fonction] tranche les cas douteux, tient à jour la liste des outils autorisés et reçoit les signalements. Un agent qui a saisi par erreur une donnée interdite le lui signale le jour même, ainsi qu'au délégué à la protection des données.</w:t>
      </w:r>
    </w:p>
    <w:p>
      <w:r>
        <w:rPr>
          <w:i/>
          <w:color w:val="5A5A5A"/>
          <w:sz w:val="18"/>
        </w:rPr>
        <w:t>Un nom, pas un service. Le délégué à la protection des données dit s'il s'agit d'une violation de données ; si c'est le cas, l'article 33 du RGPD demande de la notifier à la CNIL dans les meilleurs délais et, si possible, 72 heures au plus tard après en avoir pris connaissance.</w:t>
      </w:r>
    </w:p>
    <w:p>
      <w:pPr>
        <w:pStyle w:val="Heading1"/>
      </w:pPr>
      <w:r>
        <w:t>Article 8. Formation des agents</w:t>
      </w:r>
    </w:p>
    <w:p>
      <w:r>
        <w:rPr>
          <w:i w:val="0"/>
        </w:rPr>
        <w:t>Un agent reçoit une formation à l'usage de l'IA avant d'accéder à un outil autorisé. La collectivité conserve la trace de cette formation.</w:t>
      </w:r>
    </w:p>
    <w:p>
      <w:r>
        <w:rPr>
          <w:i/>
          <w:color w:val="5A5A5A"/>
          <w:sz w:val="18"/>
        </w:rPr>
        <w:t>L'article 4 du règlement européen sur l'IA, applicable depuis le 2 février 2025 et réécrit le 27 juillet 2026 par le règlement (UE) 2026/1744, demande à toute organisation qui utilise un système d'IA de prendre des mesures pour favoriser le développement de la maîtrise de l'IA par son personnel. Il n'impose ni durée ni niveau à garantir par agent. Gardez un programme, une feuille d'émargement ou une attestation.</w:t>
      </w:r>
    </w:p>
    <w:p>
      <w:pPr>
        <w:pStyle w:val="Heading1"/>
      </w:pPr>
      <w:r>
        <w:t>Article 9. Adoption et révision</w:t>
      </w:r>
    </w:p>
    <w:p>
      <w:r>
        <w:rPr>
          <w:i w:val="0"/>
        </w:rPr>
        <w:t>La présente charte est adoptée par [délibération du conseil municipal du … / note de service de l'autorité territoriale du …]. Elle entre en vigueur le [date]. Chaque agent la reçoit, et elle lui est expliquée.</w:t>
      </w:r>
    </w:p>
    <w:p>
      <w:r>
        <w:rPr>
          <w:i w:val="0"/>
        </w:rPr>
        <w:t>La charte est revue chaque année, et à chaque ajout d'un outil à la liste des outils autorisés. Les annexes se mettent à jour sans nouvelle adoption de la charte.</w:t>
      </w:r>
    </w:p>
    <w:p>
      <w:r>
        <w:rPr>
          <w:i/>
          <w:color w:val="5A5A5A"/>
          <w:sz w:val="18"/>
        </w:rPr>
        <w:t>Note de service pour une charte qui ne règle que le travail des services ; délibération si elle vise aussi les élus ou fixe des principes à tout projet d'IA de la collectivité. Faites relire le projet par le délégué à la protection des données. Nous n'avons trouvé aucun texte qui impose de consulter le comité social territorial sur une charte d'usage ; il débat chaque année des évolutions technologiques et de méthode de travail des services (article R253-9 du code général de la fonction publique), et nous conseillons d'informer les représentants du personnel avant l'adoption. Ce que vaut une charte adoptée par note de service face à un agent qui ne la respecte pas est une question pour votre service juridique.</w:t>
      </w:r>
    </w:p>
    <w:p>
      <w:r>
        <w:br w:type="page"/>
      </w:r>
    </w:p>
    <w:p>
      <w:pPr>
        <w:pStyle w:val="Heading1"/>
      </w:pPr>
      <w:r>
        <w:t>Annexe 1. Outils autorisés</w:t>
      </w:r>
    </w:p>
    <w:p>
      <w:r>
        <w:rPr>
          <w:i w:val="0"/>
          <w:color w:val="5A5A5A"/>
          <w:sz w:val="18"/>
        </w:rPr>
        <w:t>Mise à jour le [date] par [Nom].</w:t>
      </w:r>
    </w:p>
    <w:tbl>
      <w:tblPr>
        <w:tblStyle w:val="TableGrid"/>
        <w:tblW w:type="auto" w:w="0"/>
        <w:jc w:val="center"/>
        <w:tblLook w:firstColumn="1" w:firstRow="1" w:lastColumn="0" w:lastRow="0" w:noHBand="0" w:noVBand="1" w:val="04A0"/>
      </w:tblPr>
      <w:tblGrid>
        <w:gridCol w:w="1950"/>
        <w:gridCol w:w="1950"/>
        <w:gridCol w:w="1950"/>
        <w:gridCol w:w="1950"/>
        <w:gridCol w:w="1950"/>
      </w:tblGrid>
      <w:tr>
        <w:tc>
          <w:tcPr>
            <w:tcW w:type="dxa" w:w="2041"/>
            <w:shd w:val="clear" w:color="auto" w:fill="1B4A3C"/>
          </w:tcPr>
          <w:p>
            <w:r/>
            <w:r>
              <w:rPr>
                <w:b/>
                <w:i w:val="0"/>
                <w:color w:val="FFFFFF"/>
                <w:sz w:val="19"/>
              </w:rPr>
              <w:t>Outil</w:t>
            </w:r>
          </w:p>
        </w:tc>
        <w:tc>
          <w:tcPr>
            <w:tcW w:type="dxa" w:w="1644"/>
            <w:shd w:val="clear" w:color="auto" w:fill="1B4A3C"/>
          </w:tcPr>
          <w:p>
            <w:r/>
            <w:r>
              <w:rPr>
                <w:b/>
                <w:i w:val="0"/>
                <w:color w:val="FFFFFF"/>
                <w:sz w:val="19"/>
              </w:rPr>
              <w:t>Compte</w:t>
            </w:r>
          </w:p>
        </w:tc>
        <w:tc>
          <w:tcPr>
            <w:tcW w:type="dxa" w:w="2041"/>
            <w:shd w:val="clear" w:color="auto" w:fill="1B4A3C"/>
          </w:tcPr>
          <w:p>
            <w:r/>
            <w:r>
              <w:rPr>
                <w:b/>
                <w:i w:val="0"/>
                <w:color w:val="FFFFFF"/>
                <w:sz w:val="19"/>
              </w:rPr>
              <w:t>Usages autorisés</w:t>
            </w:r>
          </w:p>
        </w:tc>
        <w:tc>
          <w:tcPr>
            <w:tcW w:type="dxa" w:w="1587"/>
            <w:shd w:val="clear" w:color="auto" w:fill="1B4A3C"/>
          </w:tcPr>
          <w:p>
            <w:r/>
            <w:r>
              <w:rPr>
                <w:b/>
                <w:i w:val="0"/>
                <w:color w:val="FFFFFF"/>
                <w:sz w:val="19"/>
              </w:rPr>
              <w:t>Couleurs admises</w:t>
            </w:r>
          </w:p>
        </w:tc>
        <w:tc>
          <w:tcPr>
            <w:tcW w:type="dxa" w:w="2381"/>
            <w:shd w:val="clear" w:color="auto" w:fill="1B4A3C"/>
          </w:tcPr>
          <w:p>
            <w:r/>
            <w:r>
              <w:rPr>
                <w:b/>
                <w:i w:val="0"/>
                <w:color w:val="FFFFFF"/>
                <w:sz w:val="19"/>
              </w:rPr>
              <w:t>Contrat (art. 28 RGPD), registre (art. 30), avis du DPO</w:t>
            </w:r>
          </w:p>
        </w:tc>
      </w:tr>
      <w:tr>
        <w:tc>
          <w:tcPr>
            <w:tcW w:type="dxa" w:w="2041"/>
          </w:tcPr>
          <w:p>
            <w:r/>
            <w:r>
              <w:rPr>
                <w:i w:val="0"/>
                <w:sz w:val="19"/>
              </w:rPr>
              <w:t>[Assistant conversationnel retenu]</w:t>
            </w:r>
          </w:p>
        </w:tc>
        <w:tc>
          <w:tcPr>
            <w:tcW w:type="dxa" w:w="1644"/>
          </w:tcPr>
          <w:p>
            <w:r/>
            <w:r>
              <w:rPr>
                <w:i w:val="0"/>
                <w:sz w:val="19"/>
              </w:rPr>
              <w:t>[Compte professionnel nominatif]</w:t>
            </w:r>
          </w:p>
        </w:tc>
        <w:tc>
          <w:tcPr>
            <w:tcW w:type="dxa" w:w="2041"/>
          </w:tcPr>
          <w:p>
            <w:r/>
            <w:r>
              <w:rPr>
                <w:i w:val="0"/>
                <w:sz w:val="19"/>
              </w:rPr>
              <w:t>[Rédaction, synthèse, reformulation]</w:t>
            </w:r>
          </w:p>
        </w:tc>
        <w:tc>
          <w:tcPr>
            <w:tcW w:type="dxa" w:w="1587"/>
          </w:tcPr>
          <w:p>
            <w:r/>
            <w:r>
              <w:rPr>
                <w:i w:val="0"/>
                <w:sz w:val="19"/>
              </w:rPr>
              <w:t>Vert, orange</w:t>
            </w:r>
          </w:p>
        </w:tc>
        <w:tc>
          <w:tcPr>
            <w:tcW w:type="dxa" w:w="2381"/>
          </w:tcPr>
          <w:p>
            <w:r/>
            <w:r>
              <w:rPr>
                <w:i w:val="0"/>
                <w:sz w:val="19"/>
              </w:rPr>
              <w:t>[Oui, contrat signé le …]</w:t>
            </w:r>
          </w:p>
        </w:tc>
      </w:tr>
      <w:tr>
        <w:tc>
          <w:tcPr>
            <w:tcW w:type="dxa" w:w="2041"/>
          </w:tcPr>
          <w:p>
            <w:r/>
            <w:r>
              <w:rPr>
                <w:i w:val="0"/>
                <w:sz w:val="19"/>
              </w:rPr>
              <w:t>[Outil conçu pour les collectivités]</w:t>
            </w:r>
          </w:p>
        </w:tc>
        <w:tc>
          <w:tcPr>
            <w:tcW w:type="dxa" w:w="1644"/>
          </w:tcPr>
          <w:p>
            <w:r/>
            <w:r>
              <w:rPr>
                <w:i w:val="0"/>
                <w:sz w:val="19"/>
              </w:rPr>
              <w:t>[Compte professionnel]</w:t>
            </w:r>
          </w:p>
        </w:tc>
        <w:tc>
          <w:tcPr>
            <w:tcW w:type="dxa" w:w="2041"/>
          </w:tcPr>
          <w:p>
            <w:r/>
            <w:r>
              <w:rPr>
                <w:i w:val="0"/>
                <w:sz w:val="19"/>
              </w:rPr>
              <w:t>[Recherche dans les actes publiés, aide à la rédaction]</w:t>
            </w:r>
          </w:p>
        </w:tc>
        <w:tc>
          <w:tcPr>
            <w:tcW w:type="dxa" w:w="1587"/>
          </w:tcPr>
          <w:p>
            <w:r/>
            <w:r>
              <w:rPr>
                <w:i w:val="0"/>
                <w:sz w:val="19"/>
              </w:rPr>
              <w:t>Vert, orange</w:t>
            </w:r>
          </w:p>
        </w:tc>
        <w:tc>
          <w:tcPr>
            <w:tcW w:type="dxa" w:w="2381"/>
          </w:tcPr>
          <w:p>
            <w:r/>
            <w:r>
              <w:rPr>
                <w:i w:val="0"/>
                <w:sz w:val="19"/>
              </w:rPr>
              <w:t>[Oui / à vérifier]</w:t>
            </w:r>
          </w:p>
        </w:tc>
      </w:tr>
      <w:tr>
        <w:tc>
          <w:tcPr>
            <w:tcW w:type="dxa" w:w="2041"/>
          </w:tcPr>
          <w:p>
            <w:r/>
            <w:r>
              <w:rPr>
                <w:i w:val="0"/>
                <w:sz w:val="19"/>
              </w:rPr>
              <w:t>[Fonction d'IA d'un logiciel métier]</w:t>
            </w:r>
          </w:p>
        </w:tc>
        <w:tc>
          <w:tcPr>
            <w:tcW w:type="dxa" w:w="1644"/>
          </w:tcPr>
          <w:p>
            <w:r/>
            <w:r>
              <w:rPr>
                <w:i w:val="0"/>
                <w:sz w:val="19"/>
              </w:rPr>
              <w:t>[Compte du logiciel]</w:t>
            </w:r>
          </w:p>
        </w:tc>
        <w:tc>
          <w:tcPr>
            <w:tcW w:type="dxa" w:w="2041"/>
          </w:tcPr>
          <w:p>
            <w:r/>
            <w:r>
              <w:rPr>
                <w:i w:val="0"/>
                <w:sz w:val="19"/>
              </w:rPr>
              <w:t>[Tâche précise]</w:t>
            </w:r>
          </w:p>
        </w:tc>
        <w:tc>
          <w:tcPr>
            <w:tcW w:type="dxa" w:w="1587"/>
          </w:tcPr>
          <w:p>
            <w:r/>
            <w:r>
              <w:rPr>
                <w:i w:val="0"/>
                <w:sz w:val="19"/>
              </w:rPr>
              <w:t>[Vert, orange]</w:t>
            </w:r>
          </w:p>
        </w:tc>
        <w:tc>
          <w:tcPr>
            <w:tcW w:type="dxa" w:w="2381"/>
          </w:tcPr>
          <w:p>
            <w:r/>
            <w:r>
              <w:rPr>
                <w:i w:val="0"/>
                <w:sz w:val="19"/>
              </w:rPr>
              <w:t>[Contrat existant ou avenant]</w:t>
            </w:r>
          </w:p>
        </w:tc>
      </w:tr>
      <w:tr>
        <w:tc>
          <w:tcPr>
            <w:tcW w:type="dxa" w:w="2041"/>
          </w:tcPr>
          <w:p>
            <w:r/>
            <w:r>
              <w:rPr>
                <w:i w:val="0"/>
                <w:sz w:val="19"/>
              </w:rPr>
              <w:t>[Agent IA déployé pour une tâche : …]</w:t>
            </w:r>
          </w:p>
        </w:tc>
        <w:tc>
          <w:tcPr>
            <w:tcW w:type="dxa" w:w="1644"/>
          </w:tcPr>
          <w:p>
            <w:r/>
            <w:r>
              <w:rPr>
                <w:i w:val="0"/>
                <w:sz w:val="19"/>
              </w:rPr>
              <w:t>[Sans objet]</w:t>
            </w:r>
          </w:p>
        </w:tc>
        <w:tc>
          <w:tcPr>
            <w:tcW w:type="dxa" w:w="2041"/>
          </w:tcPr>
          <w:p>
            <w:r/>
            <w:r>
              <w:rPr>
                <w:i w:val="0"/>
                <w:sz w:val="19"/>
              </w:rPr>
              <w:t>[Tâche, et données que l'agent IA lit]</w:t>
            </w:r>
          </w:p>
        </w:tc>
        <w:tc>
          <w:tcPr>
            <w:tcW w:type="dxa" w:w="1587"/>
          </w:tcPr>
          <w:p>
            <w:r/>
            <w:r>
              <w:rPr>
                <w:i w:val="0"/>
                <w:sz w:val="19"/>
              </w:rPr>
              <w:t>[Vert, orange, rouge dans les conditions de l'article 3]</w:t>
            </w:r>
          </w:p>
        </w:tc>
        <w:tc>
          <w:tcPr>
            <w:tcW w:type="dxa" w:w="2381"/>
          </w:tcPr>
          <w:p>
            <w:r/>
            <w:r>
              <w:rPr>
                <w:i w:val="0"/>
                <w:sz w:val="19"/>
              </w:rPr>
              <w:t>[Oui : contrat du …, registre du …, avis du …]</w:t>
            </w:r>
          </w:p>
        </w:tc>
      </w:tr>
      <w:tr>
        <w:tc>
          <w:tcPr>
            <w:tcW w:type="dxa" w:w="2041"/>
          </w:tcPr>
          <w:p>
            <w:r/>
          </w:p>
        </w:tc>
        <w:tc>
          <w:tcPr>
            <w:tcW w:type="dxa" w:w="1644"/>
          </w:tcPr>
          <w:p>
            <w:r/>
          </w:p>
        </w:tc>
        <w:tc>
          <w:tcPr>
            <w:tcW w:type="dxa" w:w="2041"/>
          </w:tcPr>
          <w:p>
            <w:r/>
          </w:p>
        </w:tc>
        <w:tc>
          <w:tcPr>
            <w:tcW w:type="dxa" w:w="1587"/>
          </w:tcPr>
          <w:p>
            <w:r/>
          </w:p>
        </w:tc>
        <w:tc>
          <w:tcPr>
            <w:tcW w:type="dxa" w:w="2381"/>
          </w:tcPr>
          <w:p>
            <w:r/>
          </w:p>
        </w:tc>
      </w:tr>
    </w:tbl>
    <w:p/>
    <w:p>
      <w:r>
        <w:rPr>
          <w:i/>
          <w:color w:val="5A5A5A"/>
          <w:sz w:val="18"/>
        </w:rPr>
        <w:t>Avant d'inscrire un outil, faites lire son contrat : un accord de sous-traitance, l'exclusion des données de la collectivité de l'entraînement des modèles, le lieu d'hébergement. Une fonction d'IA ajoutée par l'éditeur d'un logiciel déjà sous contrat se vérifie de la même façon. Le délégué à la protection des données donne son avis sur chaque ligne.</w:t>
      </w:r>
    </w:p>
    <w:p>
      <w:pPr>
        <w:pStyle w:val="Heading1"/>
      </w:pPr>
      <w:r>
        <w:t>Annexe 2. Classement de nos documents</w:t>
      </w:r>
    </w:p>
    <w:p>
      <w:r>
        <w:rPr>
          <w:i w:val="0"/>
          <w:color w:val="5A5A5A"/>
          <w:sz w:val="18"/>
        </w:rPr>
        <w:t>Chaque type de document de [collectivité], avec sa couleur selon l'article 3.</w:t>
      </w:r>
    </w:p>
    <w:tbl>
      <w:tblPr>
        <w:tblStyle w:val="TableGrid"/>
        <w:tblW w:type="auto" w:w="0"/>
        <w:jc w:val="center"/>
        <w:tblLook w:firstColumn="1" w:firstRow="1" w:lastColumn="0" w:lastRow="0" w:noHBand="0" w:noVBand="1" w:val="04A0"/>
      </w:tblPr>
      <w:tblGrid>
        <w:gridCol w:w="2438"/>
        <w:gridCol w:w="2438"/>
        <w:gridCol w:w="2438"/>
        <w:gridCol w:w="2438"/>
      </w:tblGrid>
      <w:tr>
        <w:tc>
          <w:tcPr>
            <w:tcW w:type="dxa" w:w="3061"/>
            <w:shd w:val="clear" w:color="auto" w:fill="1B4A3C"/>
          </w:tcPr>
          <w:p>
            <w:r/>
            <w:r>
              <w:rPr>
                <w:b/>
                <w:i w:val="0"/>
                <w:color w:val="FFFFFF"/>
                <w:sz w:val="19"/>
              </w:rPr>
              <w:t>Type de document</w:t>
            </w:r>
          </w:p>
        </w:tc>
        <w:tc>
          <w:tcPr>
            <w:tcW w:type="dxa" w:w="1928"/>
            <w:shd w:val="clear" w:color="auto" w:fill="1B4A3C"/>
          </w:tcPr>
          <w:p>
            <w:r/>
            <w:r>
              <w:rPr>
                <w:b/>
                <w:i w:val="0"/>
                <w:color w:val="FFFFFF"/>
                <w:sz w:val="19"/>
              </w:rPr>
              <w:t>Service</w:t>
            </w:r>
          </w:p>
        </w:tc>
        <w:tc>
          <w:tcPr>
            <w:tcW w:type="dxa" w:w="1077"/>
            <w:shd w:val="clear" w:color="auto" w:fill="1B4A3C"/>
          </w:tcPr>
          <w:p>
            <w:r/>
            <w:r>
              <w:rPr>
                <w:b/>
                <w:i w:val="0"/>
                <w:color w:val="FFFFFF"/>
                <w:sz w:val="19"/>
              </w:rPr>
              <w:t>Couleur</w:t>
            </w:r>
          </w:p>
        </w:tc>
        <w:tc>
          <w:tcPr>
            <w:tcW w:type="dxa" w:w="3628"/>
            <w:shd w:val="clear" w:color="auto" w:fill="1B4A3C"/>
          </w:tcPr>
          <w:p>
            <w:r/>
            <w:r>
              <w:rPr>
                <w:b/>
                <w:i w:val="0"/>
                <w:color w:val="FFFFFF"/>
                <w:sz w:val="19"/>
              </w:rPr>
              <w:t>Condition ou précision</w:t>
            </w:r>
          </w:p>
        </w:tc>
      </w:tr>
      <w:tr>
        <w:tc>
          <w:tcPr>
            <w:tcW w:type="dxa" w:w="3061"/>
          </w:tcPr>
          <w:p>
            <w:r/>
            <w:r>
              <w:rPr>
                <w:i w:val="0"/>
                <w:sz w:val="19"/>
              </w:rPr>
              <w:t>[Délibération ou arrêté déjà publié]</w:t>
            </w:r>
          </w:p>
        </w:tc>
        <w:tc>
          <w:tcPr>
            <w:tcW w:type="dxa" w:w="1928"/>
          </w:tcPr>
          <w:p>
            <w:r/>
            <w:r>
              <w:rPr>
                <w:i w:val="0"/>
                <w:sz w:val="19"/>
              </w:rPr>
              <w:t>[Secrétariat général]</w:t>
            </w:r>
          </w:p>
        </w:tc>
        <w:tc>
          <w:tcPr>
            <w:tcW w:type="dxa" w:w="1077"/>
          </w:tcPr>
          <w:p>
            <w:r/>
            <w:r>
              <w:rPr>
                <w:i w:val="0"/>
                <w:sz w:val="19"/>
              </w:rPr>
              <w:t>Vert</w:t>
            </w:r>
          </w:p>
        </w:tc>
        <w:tc>
          <w:tcPr>
            <w:tcW w:type="dxa" w:w="3628"/>
          </w:tcPr>
          <w:p>
            <w:r/>
            <w:r>
              <w:rPr>
                <w:i w:val="0"/>
                <w:sz w:val="19"/>
              </w:rPr>
              <w:t>—</w:t>
            </w:r>
          </w:p>
        </w:tc>
      </w:tr>
      <w:tr>
        <w:tc>
          <w:tcPr>
            <w:tcW w:type="dxa" w:w="3061"/>
          </w:tcPr>
          <w:p>
            <w:r/>
            <w:r>
              <w:rPr>
                <w:i w:val="0"/>
                <w:sz w:val="19"/>
              </w:rPr>
              <w:t>[Modèle de courrier vierge, procédure interne sans nom]</w:t>
            </w:r>
          </w:p>
        </w:tc>
        <w:tc>
          <w:tcPr>
            <w:tcW w:type="dxa" w:w="1928"/>
          </w:tcPr>
          <w:p>
            <w:r/>
            <w:r>
              <w:rPr>
                <w:i w:val="0"/>
                <w:sz w:val="19"/>
              </w:rPr>
              <w:t>[Tous services]</w:t>
            </w:r>
          </w:p>
        </w:tc>
        <w:tc>
          <w:tcPr>
            <w:tcW w:type="dxa" w:w="1077"/>
          </w:tcPr>
          <w:p>
            <w:r/>
            <w:r>
              <w:rPr>
                <w:i w:val="0"/>
                <w:sz w:val="19"/>
              </w:rPr>
              <w:t>Vert</w:t>
            </w:r>
          </w:p>
        </w:tc>
        <w:tc>
          <w:tcPr>
            <w:tcW w:type="dxa" w:w="3628"/>
          </w:tcPr>
          <w:p>
            <w:r/>
            <w:r>
              <w:rPr>
                <w:i w:val="0"/>
                <w:sz w:val="19"/>
              </w:rPr>
              <w:t>—</w:t>
            </w:r>
          </w:p>
        </w:tc>
      </w:tr>
      <w:tr>
        <w:tc>
          <w:tcPr>
            <w:tcW w:type="dxa" w:w="3061"/>
          </w:tcPr>
          <w:p>
            <w:r/>
            <w:r>
              <w:rPr>
                <w:i w:val="0"/>
                <w:sz w:val="19"/>
              </w:rPr>
              <w:t>[Projet d'e-mail à un administré]</w:t>
            </w:r>
          </w:p>
        </w:tc>
        <w:tc>
          <w:tcPr>
            <w:tcW w:type="dxa" w:w="1928"/>
          </w:tcPr>
          <w:p>
            <w:r/>
            <w:r>
              <w:rPr>
                <w:i w:val="0"/>
                <w:sz w:val="19"/>
              </w:rPr>
              <w:t>[Accueil]</w:t>
            </w:r>
          </w:p>
        </w:tc>
        <w:tc>
          <w:tcPr>
            <w:tcW w:type="dxa" w:w="1077"/>
          </w:tcPr>
          <w:p>
            <w:r/>
            <w:r>
              <w:rPr>
                <w:i w:val="0"/>
                <w:sz w:val="19"/>
              </w:rPr>
              <w:t>Orange</w:t>
            </w:r>
          </w:p>
        </w:tc>
        <w:tc>
          <w:tcPr>
            <w:tcW w:type="dxa" w:w="3628"/>
          </w:tcPr>
          <w:p>
            <w:r/>
            <w:r>
              <w:rPr>
                <w:i w:val="0"/>
                <w:sz w:val="19"/>
              </w:rPr>
              <w:t>[Noms, adresses et montants remplacés par des balises, relecture avant envoi]</w:t>
            </w:r>
          </w:p>
        </w:tc>
      </w:tr>
      <w:tr>
        <w:tc>
          <w:tcPr>
            <w:tcW w:type="dxa" w:w="3061"/>
          </w:tcPr>
          <w:p>
            <w:r/>
            <w:r>
              <w:rPr>
                <w:i w:val="0"/>
                <w:sz w:val="19"/>
              </w:rPr>
              <w:t>[Compte rendu de réunion interne]</w:t>
            </w:r>
          </w:p>
        </w:tc>
        <w:tc>
          <w:tcPr>
            <w:tcW w:type="dxa" w:w="1928"/>
          </w:tcPr>
          <w:p>
            <w:r/>
            <w:r>
              <w:rPr>
                <w:i w:val="0"/>
                <w:sz w:val="19"/>
              </w:rPr>
              <w:t>[Direction]</w:t>
            </w:r>
          </w:p>
        </w:tc>
        <w:tc>
          <w:tcPr>
            <w:tcW w:type="dxa" w:w="1077"/>
          </w:tcPr>
          <w:p>
            <w:r/>
            <w:r>
              <w:rPr>
                <w:i w:val="0"/>
                <w:sz w:val="19"/>
              </w:rPr>
              <w:t>Orange</w:t>
            </w:r>
          </w:p>
        </w:tc>
        <w:tc>
          <w:tcPr>
            <w:tcW w:type="dxa" w:w="3628"/>
          </w:tcPr>
          <w:p>
            <w:r/>
            <w:r>
              <w:rPr>
                <w:i w:val="0"/>
                <w:sz w:val="19"/>
              </w:rPr>
              <w:t>[Noms retirés, relecture par le responsable]</w:t>
            </w:r>
          </w:p>
        </w:tc>
      </w:tr>
      <w:tr>
        <w:tc>
          <w:tcPr>
            <w:tcW w:type="dxa" w:w="3061"/>
          </w:tcPr>
          <w:p>
            <w:r/>
            <w:r>
              <w:rPr>
                <w:i w:val="0"/>
                <w:sz w:val="19"/>
              </w:rPr>
              <w:t>[Projet d'arrêté, note de synthèse]</w:t>
            </w:r>
          </w:p>
        </w:tc>
        <w:tc>
          <w:tcPr>
            <w:tcW w:type="dxa" w:w="1928"/>
          </w:tcPr>
          <w:p>
            <w:r/>
            <w:r>
              <w:rPr>
                <w:i w:val="0"/>
                <w:sz w:val="19"/>
              </w:rPr>
              <w:t>[Secrétariat général]</w:t>
            </w:r>
          </w:p>
        </w:tc>
        <w:tc>
          <w:tcPr>
            <w:tcW w:type="dxa" w:w="1077"/>
          </w:tcPr>
          <w:p>
            <w:r/>
            <w:r>
              <w:rPr>
                <w:i w:val="0"/>
                <w:sz w:val="19"/>
              </w:rPr>
              <w:t>Orange</w:t>
            </w:r>
          </w:p>
        </w:tc>
        <w:tc>
          <w:tcPr>
            <w:tcW w:type="dxa" w:w="3628"/>
          </w:tcPr>
          <w:p>
            <w:r/>
            <w:r>
              <w:rPr>
                <w:i w:val="0"/>
                <w:sz w:val="19"/>
              </w:rPr>
              <w:t>[Relecture avant signature]</w:t>
            </w:r>
          </w:p>
        </w:tc>
      </w:tr>
      <w:tr>
        <w:tc>
          <w:tcPr>
            <w:tcW w:type="dxa" w:w="3061"/>
          </w:tcPr>
          <w:p>
            <w:r/>
            <w:r>
              <w:rPr>
                <w:i w:val="0"/>
                <w:sz w:val="19"/>
              </w:rPr>
              <w:t>[Demande écrite d'un administré, signalement de voirie]</w:t>
            </w:r>
          </w:p>
        </w:tc>
        <w:tc>
          <w:tcPr>
            <w:tcW w:type="dxa" w:w="1928"/>
          </w:tcPr>
          <w:p>
            <w:r/>
            <w:r>
              <w:rPr>
                <w:i w:val="0"/>
                <w:sz w:val="19"/>
              </w:rPr>
              <w:t>[Accueil, services techniques]</w:t>
            </w:r>
          </w:p>
        </w:tc>
        <w:tc>
          <w:tcPr>
            <w:tcW w:type="dxa" w:w="1077"/>
          </w:tcPr>
          <w:p>
            <w:r/>
            <w:r>
              <w:rPr>
                <w:i w:val="0"/>
                <w:sz w:val="19"/>
              </w:rPr>
              <w:t>Rouge</w:t>
            </w:r>
          </w:p>
        </w:tc>
        <w:tc>
          <w:tcPr>
            <w:tcW w:type="dxa" w:w="3628"/>
          </w:tcPr>
          <w:p>
            <w:r/>
            <w:r>
              <w:rPr>
                <w:i w:val="0"/>
                <w:sz w:val="19"/>
              </w:rPr>
              <w:t>[Seulement dans l'agent IA de l'annexe 1 prévu pour cette tâche]</w:t>
            </w:r>
          </w:p>
        </w:tc>
      </w:tr>
      <w:tr>
        <w:tc>
          <w:tcPr>
            <w:tcW w:type="dxa" w:w="3061"/>
          </w:tcPr>
          <w:p>
            <w:r/>
            <w:r>
              <w:rPr>
                <w:i w:val="0"/>
                <w:sz w:val="19"/>
              </w:rPr>
              <w:t>[Dossier du centre communal d'action sociale, signalement social]</w:t>
            </w:r>
          </w:p>
        </w:tc>
        <w:tc>
          <w:tcPr>
            <w:tcW w:type="dxa" w:w="1928"/>
          </w:tcPr>
          <w:p>
            <w:r/>
            <w:r>
              <w:rPr>
                <w:i w:val="0"/>
                <w:sz w:val="19"/>
              </w:rPr>
              <w:t>[CCAS]</w:t>
            </w:r>
          </w:p>
        </w:tc>
        <w:tc>
          <w:tcPr>
            <w:tcW w:type="dxa" w:w="1077"/>
          </w:tcPr>
          <w:p>
            <w:r/>
            <w:r>
              <w:rPr>
                <w:i w:val="0"/>
                <w:sz w:val="19"/>
              </w:rPr>
              <w:t>Rouge</w:t>
            </w:r>
          </w:p>
        </w:tc>
        <w:tc>
          <w:tcPr>
            <w:tcW w:type="dxa" w:w="3628"/>
          </w:tcPr>
          <w:p>
            <w:r/>
            <w:r>
              <w:rPr>
                <w:i w:val="0"/>
                <w:sz w:val="19"/>
              </w:rPr>
              <w:t>[Jamais]</w:t>
            </w:r>
          </w:p>
        </w:tc>
      </w:tr>
      <w:tr>
        <w:tc>
          <w:tcPr>
            <w:tcW w:type="dxa" w:w="3061"/>
          </w:tcPr>
          <w:p>
            <w:r/>
            <w:r>
              <w:rPr>
                <w:i w:val="0"/>
                <w:sz w:val="19"/>
              </w:rPr>
              <w:t>[Acte d'état civil nominatif]</w:t>
            </w:r>
          </w:p>
        </w:tc>
        <w:tc>
          <w:tcPr>
            <w:tcW w:type="dxa" w:w="1928"/>
          </w:tcPr>
          <w:p>
            <w:r/>
            <w:r>
              <w:rPr>
                <w:i w:val="0"/>
                <w:sz w:val="19"/>
              </w:rPr>
              <w:t>[État civil]</w:t>
            </w:r>
          </w:p>
        </w:tc>
        <w:tc>
          <w:tcPr>
            <w:tcW w:type="dxa" w:w="1077"/>
          </w:tcPr>
          <w:p>
            <w:r/>
            <w:r>
              <w:rPr>
                <w:i w:val="0"/>
                <w:sz w:val="19"/>
              </w:rPr>
              <w:t>Rouge</w:t>
            </w:r>
          </w:p>
        </w:tc>
        <w:tc>
          <w:tcPr>
            <w:tcW w:type="dxa" w:w="3628"/>
          </w:tcPr>
          <w:p>
            <w:r/>
            <w:r>
              <w:rPr>
                <w:i w:val="0"/>
                <w:sz w:val="19"/>
              </w:rPr>
              <w:t>[Jamais]</w:t>
            </w:r>
          </w:p>
        </w:tc>
      </w:tr>
      <w:tr>
        <w:tc>
          <w:tcPr>
            <w:tcW w:type="dxa" w:w="3061"/>
          </w:tcPr>
          <w:p>
            <w:r/>
            <w:r>
              <w:rPr>
                <w:i w:val="0"/>
                <w:sz w:val="19"/>
              </w:rPr>
              <w:t>[Dossier individuel d'un agent, paie]</w:t>
            </w:r>
          </w:p>
        </w:tc>
        <w:tc>
          <w:tcPr>
            <w:tcW w:type="dxa" w:w="1928"/>
          </w:tcPr>
          <w:p>
            <w:r/>
            <w:r>
              <w:rPr>
                <w:i w:val="0"/>
                <w:sz w:val="19"/>
              </w:rPr>
              <w:t>[Ressources humaines]</w:t>
            </w:r>
          </w:p>
        </w:tc>
        <w:tc>
          <w:tcPr>
            <w:tcW w:type="dxa" w:w="1077"/>
          </w:tcPr>
          <w:p>
            <w:r/>
            <w:r>
              <w:rPr>
                <w:i w:val="0"/>
                <w:sz w:val="19"/>
              </w:rPr>
              <w:t>Rouge</w:t>
            </w:r>
          </w:p>
        </w:tc>
        <w:tc>
          <w:tcPr>
            <w:tcW w:type="dxa" w:w="3628"/>
          </w:tcPr>
          <w:p>
            <w:r/>
            <w:r>
              <w:rPr>
                <w:i w:val="0"/>
                <w:sz w:val="19"/>
              </w:rPr>
              <w:t>[Jamais dans un assistant d'usage général]</w:t>
            </w:r>
          </w:p>
        </w:tc>
      </w:tr>
      <w:tr>
        <w:tc>
          <w:tcPr>
            <w:tcW w:type="dxa" w:w="3061"/>
          </w:tcPr>
          <w:p>
            <w:r/>
          </w:p>
        </w:tc>
        <w:tc>
          <w:tcPr>
            <w:tcW w:type="dxa" w:w="1928"/>
          </w:tcPr>
          <w:p>
            <w:r/>
          </w:p>
        </w:tc>
        <w:tc>
          <w:tcPr>
            <w:tcW w:type="dxa" w:w="1077"/>
          </w:tcPr>
          <w:p>
            <w:r/>
          </w:p>
        </w:tc>
        <w:tc>
          <w:tcPr>
            <w:tcW w:type="dxa" w:w="3628"/>
          </w:tcPr>
          <w:p>
            <w:r/>
          </w:p>
        </w:tc>
      </w:tr>
    </w:tbl>
    <w:p/>
    <w:p>
      <w:r>
        <w:rPr>
          <w:i/>
          <w:color w:val="5A5A5A"/>
          <w:sz w:val="18"/>
        </w:rPr>
        <w:t>C'est cette annexe qui permet à un agent de trancher seul. Classez vos documents réels, service par service, avec les agents qui les manipulent.</w:t>
      </w:r>
    </w:p>
    <w:p>
      <w:r>
        <w:br w:type="page"/>
      </w:r>
    </w:p>
    <w:p>
      <w:pPr>
        <w:pStyle w:val="Heading1"/>
      </w:pPr>
      <w:r>
        <w:t>Délibération type d'adoption</w:t>
      </w:r>
    </w:p>
    <w:p>
      <w:r>
        <w:rPr>
          <w:i/>
          <w:color w:val="5A5A5A"/>
          <w:sz w:val="18"/>
        </w:rPr>
        <w:t>À utiliser si la charte est adoptée par le conseil municipal. Une note de service de l'autorité territoriale reprend les mêmes visas et le même article 1er. Faites relire ce texte par votre service juridique.</w:t>
      </w:r>
    </w:p>
    <w:p>
      <w:r>
        <w:rPr>
          <w:b/>
          <w:i w:val="0"/>
        </w:rPr>
        <w:t>Commune de [nom] · Conseil municipal · Séance du [date]</w:t>
      </w:r>
    </w:p>
    <w:p>
      <w:r>
        <w:rPr>
          <w:b/>
          <w:i w:val="0"/>
        </w:rPr>
        <w:t>Délibération n° [année-numéro] · Objet : adoption de la charte d'usage de l'intelligence artificielle</w:t>
      </w:r>
    </w:p>
    <w:p>
      <w:r>
        <w:rPr>
          <w:i w:val="0"/>
          <w:color w:val="5A5A5A"/>
          <w:sz w:val="18"/>
        </w:rPr>
        <w:t>Membres en exercice : [ ] · Présents : [ ] · Représentés : [ ] · Votants : [ ] · Date de la convocation : [date] · Secrétaire de séance : [nom]</w:t>
      </w:r>
    </w:p>
    <w:p>
      <w:r>
        <w:rPr>
          <w:i w:val="0"/>
        </w:rPr>
        <w:t>Rapporteur : [nom, qualité]</w:t>
      </w:r>
    </w:p>
    <w:p>
      <w:r>
        <w:rPr>
          <w:i w:val="0"/>
        </w:rPr>
        <w:t>Le conseil municipal,</w:t>
      </w:r>
    </w:p>
    <w:p>
      <w:pPr>
        <w:spacing w:after="40"/>
        <w:ind w:left="280" w:hanging="200"/>
      </w:pPr>
      <w:r>
        <w:rPr>
          <w:i w:val="0"/>
        </w:rPr>
        <w:t>– Vu le code général des collectivités territoriales, et notamment son article L2121-29 ;</w:t>
      </w:r>
    </w:p>
    <w:p>
      <w:pPr>
        <w:spacing w:after="40"/>
        <w:ind w:left="280" w:hanging="200"/>
      </w:pPr>
      <w:r>
        <w:rPr>
          <w:i w:val="0"/>
        </w:rPr>
        <w:t>– Vu le code général de la fonction publique, et notamment ses articles L121-6 et L121-7 ;</w:t>
      </w:r>
    </w:p>
    <w:p>
      <w:pPr>
        <w:spacing w:after="40"/>
        <w:ind w:left="280" w:hanging="200"/>
      </w:pPr>
      <w:r>
        <w:rPr>
          <w:i w:val="0"/>
        </w:rPr>
        <w:t>– Vu le règlement (UE) 2016/679 du 27 avril 2016 relatif à la protection des personnes physiques à l'égard du traitement des données à caractère personnel et à la libre circulation de ces données, et notamment ses articles 28, 30 et 35 ;</w:t>
      </w:r>
    </w:p>
    <w:p>
      <w:pPr>
        <w:spacing w:after="40"/>
        <w:ind w:left="280" w:hanging="200"/>
      </w:pPr>
      <w:r>
        <w:rPr>
          <w:i w:val="0"/>
        </w:rPr>
        <w:t>– Vu le règlement (UE) 2024/1689 du 13 juin 2024 établissant des règles harmonisées concernant l'intelligence artificielle, modifié par le règlement (UE) 2026/1744, et notamment son article 4 ;</w:t>
      </w:r>
    </w:p>
    <w:p>
      <w:pPr>
        <w:spacing w:after="40"/>
        <w:ind w:left="280" w:hanging="200"/>
      </w:pPr>
      <w:r>
        <w:rPr>
          <w:i w:val="0"/>
        </w:rPr>
        <w:t>– Vu l'avis du délégué à la protection des données du [date] ;</w:t>
      </w:r>
    </w:p>
    <w:p>
      <w:pPr>
        <w:spacing w:after="40"/>
        <w:ind w:left="280" w:hanging="200"/>
      </w:pPr>
      <w:r>
        <w:rPr>
          <w:i w:val="0"/>
        </w:rPr>
        <w:t>– [Vu l'information des représentants du personnel en date du [date] ;]</w:t>
      </w:r>
    </w:p>
    <w:p>
      <w:pPr>
        <w:spacing w:after="40"/>
        <w:ind w:left="280" w:hanging="200"/>
      </w:pPr>
      <w:r>
        <w:rPr>
          <w:i w:val="0"/>
        </w:rPr>
        <w:t>– Vu le projet de charte d'usage de l'intelligence artificielle annexé à la présente délibération ;</w:t>
      </w:r>
    </w:p>
    <w:p>
      <w:r>
        <w:rPr>
          <w:i/>
          <w:color w:val="5A5A5A"/>
          <w:sz w:val="18"/>
        </w:rPr>
        <w:t>Ouvrez chaque article visé sur Légifrance ou EUR-Lex, dans sa version en vigueur à la date de la séance. Un visa recopié d'une ancienne délibération peut viser un texte modifié.</w:t>
      </w:r>
    </w:p>
    <w:p>
      <w:pPr>
        <w:spacing w:after="40"/>
        <w:ind w:left="280" w:hanging="200"/>
      </w:pPr>
      <w:r>
        <w:rPr>
          <w:i w:val="0"/>
        </w:rPr>
        <w:t>– Considérant que des agents de la commune utilisent ou sont appelés à utiliser des outils d'intelligence artificielle dans leur travail ;</w:t>
      </w:r>
    </w:p>
    <w:p>
      <w:pPr>
        <w:spacing w:after="40"/>
        <w:ind w:left="280" w:hanging="200"/>
      </w:pPr>
      <w:r>
        <w:rPr>
          <w:i w:val="0"/>
        </w:rPr>
        <w:t>– Considérant que l'article 4 du règlement (UE) 2024/1689 demande à toute organisation qui utilise un système d'IA de prendre des mesures pour favoriser le développement de la maîtrise de l'IA par son personnel ;</w:t>
      </w:r>
    </w:p>
    <w:p>
      <w:pPr>
        <w:spacing w:after="40"/>
        <w:ind w:left="280" w:hanging="200"/>
      </w:pPr>
      <w:r>
        <w:rPr>
          <w:i w:val="0"/>
        </w:rPr>
        <w:t>– Considérant que les agents sont tenus au secret et à la discrétion professionnels, et que la commune répond, en tant que responsable du traitement, des données personnelles qu'elle confie à un prestataire ;</w:t>
      </w:r>
    </w:p>
    <w:p>
      <w:pPr>
        <w:spacing w:after="40"/>
        <w:ind w:left="280" w:hanging="200"/>
      </w:pPr>
      <w:r>
        <w:rPr>
          <w:i w:val="0"/>
        </w:rPr>
        <w:t>– Considérant qu'une règle écrite, connue de chaque agent, doit fixer les outils autorisés, les données qui n'y sont jamais saisies et la personne qui tranche les cas douteux ;</w:t>
      </w:r>
    </w:p>
    <w:p>
      <w:r>
        <w:rPr>
          <w:i w:val="0"/>
        </w:rPr>
        <w:t>Après en avoir délibéré,</w:t>
      </w:r>
    </w:p>
    <w:p>
      <w:r>
        <w:rPr>
          <w:b/>
          <w:i w:val="0"/>
        </w:rPr>
        <w:t>DÉCIDE</w:t>
      </w:r>
    </w:p>
    <w:p>
      <w:r>
        <w:rPr>
          <w:b/>
          <w:i w:val="0"/>
        </w:rPr>
        <w:t>Article 1er.</w:t>
      </w:r>
      <w:r>
        <w:rPr>
          <w:i w:val="0"/>
        </w:rPr>
        <w:t xml:space="preserve"> D'adopter la charte d'usage de l'intelligence artificielle annexée à la présente délibération, qui entre en vigueur le [date].</w:t>
      </w:r>
    </w:p>
    <w:p>
      <w:r>
        <w:rPr>
          <w:b/>
          <w:i w:val="0"/>
        </w:rPr>
        <w:t>Article 2.</w:t>
      </w:r>
      <w:r>
        <w:rPr>
          <w:i w:val="0"/>
        </w:rPr>
        <w:t xml:space="preserve"> La charte s'applique aux agents de la commune[, ainsi qu'aux élus municipaux pour l'exercice de leur mandat].</w:t>
      </w:r>
    </w:p>
    <w:p>
      <w:r>
        <w:rPr>
          <w:b/>
          <w:i w:val="0"/>
        </w:rPr>
        <w:t>Article 3.</w:t>
      </w:r>
      <w:r>
        <w:rPr>
          <w:i w:val="0"/>
        </w:rPr>
        <w:t xml:space="preserve"> De charger le maire de tenir à jour les annexes 1 et 2 de la charte, qui se modifient sans nouvelle délibération, et d'en rendre compte au conseil municipal [chaque année].</w:t>
      </w:r>
    </w:p>
    <w:p>
      <w:r>
        <w:rPr>
          <w:b/>
          <w:i w:val="0"/>
        </w:rPr>
        <w:t>Article 4.</w:t>
      </w:r>
      <w:r>
        <w:rPr>
          <w:i w:val="0"/>
        </w:rPr>
        <w:t xml:space="preserve"> Le maire est chargé de l'exécution de la présente délibération.</w:t>
      </w:r>
    </w:p>
    <w:p>
      <w:r>
        <w:rPr>
          <w:i w:val="0"/>
        </w:rPr>
        <w:t>Adoptée par [ ] voix pour, [ ] voix contre et [ ] abstentions.</w:t>
      </w:r>
    </w:p>
    <w:p>
      <w:r>
        <w:rPr>
          <w:i/>
          <w:color w:val="5A5A5A"/>
          <w:sz w:val="18"/>
        </w:rPr>
        <w:t>Les délibérations sont prises à la majorité absolue des suffrages exprimés (article L2121-20 du code général des collectivités territoriales). Elles sont signées par le maire et le ou les secrétaires de séance (article L2121-23).</w:t>
      </w:r>
    </w:p>
    <w:p>
      <w:r>
        <w:rPr>
          <w:i w:val="0"/>
        </w:rPr>
        <w:t>Le maire, [prénom, nom]          Le ou les secrétaires de séance, [prénom, nom]</w:t>
      </w:r>
    </w:p>
    <w:p>
      <w:r>
        <w:rPr>
          <w:i w:val="0"/>
        </w:rPr>
        <w:t>Publiée [sous forme électronique sur le site internet de la commune / par affichage / sur papier] le [date]. Transmise au représentant de l'État le [date].</w:t>
      </w:r>
    </w:p>
    <w:p>
      <w:r>
        <w:rPr>
          <w:i w:val="0"/>
        </w:rPr>
        <w:t>Le maire certifie sous sa responsabilité le caractère exécutoire de cet acte.</w:t>
      </w:r>
    </w:p>
    <w:p>
      <w:r>
        <w:rPr>
          <w:i w:val="0"/>
        </w:rPr>
        <w:t>La présente délibération peut faire l'objet d'un recours devant le tribunal administratif de [ville] dans un délai de deux mois à compter de sa publication. Le tribunal administratif peut être saisi par l'application Télérecours citoyens, accessible sur le site citoyens.telerecours.fr.</w:t>
      </w:r>
    </w:p>
    <w:p>
      <w:r>
        <w:rPr>
          <w:i/>
          <w:color w:val="5A5A5A"/>
          <w:sz w:val="18"/>
        </w:rPr>
        <w:t>La délibération est exécutoire dès qu'elle a été publiée et, si elle fait partie des actes à transmettre, transmise au représentant de l'État (articles L2131-1 et L2131-2). Une commune de moins de 3 500 habitants choisit par délibération entre l'affichage, le papier et la publication électronique ; à défaut, la publication électronique s'applique. Publiée sous forme électronique, la délibération porte le prénom, le nom et la qualité de son auteur et sa date de mise en ligne, et reste en ligne deux mois au moins (article R2131-1). Le délai de recours de deux mois est celui de l'article R421-1 du code de justice administrative. Dans la semaine qui suit la séance, la liste des délibérations examinées est affichée en mairie et mise en ligne sur le site de la commune, lorsqu'il existe (article L2121-25).</w:t>
      </w:r>
    </w:p>
    <w:p>
      <w:pPr>
        <w:pStyle w:val="Heading1"/>
      </w:pPr>
      <w:r>
        <w:t>Accusé de réception</w:t>
      </w:r>
    </w:p>
    <w:p>
      <w:r>
        <w:rPr>
          <w:i w:val="0"/>
        </w:rPr>
        <w:t>Je soussigné(e) [nom, prénom], [fonction], déclare avoir reçu la charte d'usage de l'intelligence artificielle de [collectivité], version [1.0], et en avoir reçu l'explication.</w:t>
      </w:r>
    </w:p>
    <w:p>
      <w:r>
        <w:rPr>
          <w:i w:val="0"/>
        </w:rPr>
        <w:t>Fait à [ville], le [date].          Signature :</w:t>
      </w:r>
    </w:p>
    <w:sectPr w:rsidR="00FC693F" w:rsidRPr="0006063C" w:rsidSect="00034616">
      <w:footerReference w:type="default" r:id="rId9"/>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Modèle IzaIA, à adapter et à faire relire · izaia.fr/collectivites/charte-ia/ · licence CC BY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eastAsia="Calibri" w:cs="Calibri"/>
      <w:b/>
      <w:bCs/>
      <w:color w:val="1B4A3C"/>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cs="Calibri"/>
      <w:b/>
      <w:bCs/>
      <w:color w:val="1B4A3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cs="Calibri"/>
      <w:b/>
      <w:color w:val="1B4A3C"/>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d'usage de l'IA pour une collectivité</dc:title>
  <dc:subject/>
  <dc:creator>IzaIA</dc:creator>
  <cp:keywords>charte IA, collectivité territoriale, mairie</cp:keywords>
  <dc:description>Modèle IzaIA, à adapter et à faire relire. Licence CC BY 4.0.</dc:description>
  <cp:lastModifiedBy>IzaIA</cp:lastModifiedBy>
  <cp:revision>1</cp:revision>
  <dcterms:created xsi:type="dcterms:W3CDTF">2026-10-12T12:00:00Z</dcterms:created>
  <dcterms:modified xsi:type="dcterms:W3CDTF">2026-10-12T12:00:00Z</dcterms:modified>
  <cp:category/>
</cp:coreProperties>
</file>